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B9621">
      <w:pPr>
        <w:spacing w:line="440" w:lineRule="exact"/>
        <w:rPr>
          <w:rFonts w:ascii="黑体" w:hAnsi="黑体" w:eastAsia="黑体" w:cs="黑体"/>
          <w:sz w:val="32"/>
          <w:szCs w:val="32"/>
        </w:rPr>
      </w:pPr>
      <w:r>
        <w:rPr>
          <w:rFonts w:hint="eastAsia" w:ascii="黑体" w:hAnsi="黑体" w:eastAsia="黑体" w:cs="黑体"/>
          <w:sz w:val="32"/>
          <w:szCs w:val="32"/>
        </w:rPr>
        <w:t>附件3</w:t>
      </w:r>
    </w:p>
    <w:p w14:paraId="4303F6E0">
      <w:pPr>
        <w:spacing w:beforeLines="50" w:afterLines="50" w:line="440" w:lineRule="exact"/>
        <w:jc w:val="center"/>
        <w:rPr>
          <w:rFonts w:ascii="黑体" w:hAnsi="黑体" w:eastAsia="黑体" w:cs="黑体"/>
          <w:sz w:val="24"/>
        </w:rPr>
      </w:pPr>
    </w:p>
    <w:p w14:paraId="7D0E3032">
      <w:pPr>
        <w:spacing w:beforeLines="50" w:afterLines="50" w:line="440" w:lineRule="exact"/>
        <w:jc w:val="center"/>
        <w:rPr>
          <w:rFonts w:ascii="黑体" w:hAnsi="黑体" w:eastAsia="黑体" w:cs="黑体"/>
          <w:sz w:val="24"/>
        </w:rPr>
      </w:pPr>
    </w:p>
    <w:p w14:paraId="0C716ABB">
      <w:pPr>
        <w:spacing w:beforeLines="50" w:afterLines="50" w:line="440" w:lineRule="exact"/>
        <w:jc w:val="center"/>
        <w:rPr>
          <w:rFonts w:ascii="黑体" w:hAnsi="黑体" w:eastAsia="黑体" w:cs="黑体"/>
          <w:sz w:val="24"/>
        </w:rPr>
      </w:pPr>
    </w:p>
    <w:p w14:paraId="6C7C3D9D">
      <w:pPr>
        <w:spacing w:beforeLines="50" w:afterLines="50" w:line="440" w:lineRule="exact"/>
        <w:jc w:val="center"/>
        <w:rPr>
          <w:rFonts w:hint="eastAsia" w:ascii="黑体" w:hAnsi="黑体" w:eastAsia="黑体" w:cs="黑体"/>
          <w:sz w:val="36"/>
          <w:szCs w:val="36"/>
        </w:rPr>
      </w:pPr>
      <w:r>
        <w:rPr>
          <w:rFonts w:hint="eastAsia" w:ascii="黑体" w:hAnsi="黑体" w:eastAsia="黑体" w:cs="黑体"/>
          <w:sz w:val="36"/>
          <w:szCs w:val="36"/>
        </w:rPr>
        <w:t>《民用核安全设备制造单位核安全文化评估细则》</w:t>
      </w:r>
    </w:p>
    <w:p w14:paraId="116822F8">
      <w:pPr>
        <w:spacing w:beforeLines="50" w:afterLines="50" w:line="440" w:lineRule="exact"/>
        <w:jc w:val="center"/>
        <w:rPr>
          <w:rFonts w:hint="eastAsia" w:ascii="黑体" w:hAnsi="黑体" w:eastAsia="黑体" w:cs="黑体"/>
          <w:sz w:val="24"/>
          <w:lang w:eastAsia="zh-CN"/>
        </w:rPr>
      </w:pPr>
      <w:r>
        <w:rPr>
          <w:rFonts w:hint="eastAsia" w:ascii="黑体" w:hAnsi="黑体" w:eastAsia="黑体" w:cs="黑体"/>
          <w:sz w:val="36"/>
          <w:szCs w:val="36"/>
        </w:rPr>
        <w:t>编制说明</w:t>
      </w:r>
      <w:r>
        <w:rPr>
          <w:rFonts w:hint="eastAsia" w:ascii="黑体" w:hAnsi="黑体" w:eastAsia="黑体" w:cs="黑体"/>
          <w:sz w:val="36"/>
          <w:szCs w:val="36"/>
          <w:lang w:eastAsia="zh-CN"/>
        </w:rPr>
        <w:t>（</w:t>
      </w:r>
      <w:r>
        <w:rPr>
          <w:rFonts w:hint="eastAsia" w:ascii="黑体" w:hAnsi="黑体" w:eastAsia="黑体" w:cs="黑体"/>
          <w:sz w:val="36"/>
          <w:szCs w:val="36"/>
          <w:lang w:val="en-US" w:eastAsia="zh-CN"/>
        </w:rPr>
        <w:t>征求意见稿</w:t>
      </w:r>
      <w:r>
        <w:rPr>
          <w:rFonts w:hint="eastAsia" w:ascii="黑体" w:hAnsi="黑体" w:eastAsia="黑体" w:cs="黑体"/>
          <w:sz w:val="36"/>
          <w:szCs w:val="36"/>
          <w:lang w:eastAsia="zh-CN"/>
        </w:rPr>
        <w:t>）</w:t>
      </w:r>
      <w:bookmarkStart w:id="10" w:name="_GoBack"/>
      <w:bookmarkEnd w:id="10"/>
    </w:p>
    <w:p w14:paraId="1447A2A8">
      <w:pPr>
        <w:spacing w:beforeLines="50" w:afterLines="50" w:line="440" w:lineRule="exact"/>
        <w:jc w:val="center"/>
        <w:rPr>
          <w:rFonts w:ascii="黑体" w:hAnsi="黑体" w:eastAsia="黑体" w:cs="黑体"/>
          <w:sz w:val="24"/>
        </w:rPr>
      </w:pPr>
    </w:p>
    <w:p w14:paraId="04F8AB36">
      <w:pPr>
        <w:pStyle w:val="23"/>
        <w:spacing w:line="440" w:lineRule="exact"/>
        <w:rPr>
          <w:rFonts w:ascii="黑体" w:hAnsi="黑体" w:eastAsia="黑体" w:cs="黑体"/>
          <w:sz w:val="24"/>
        </w:rPr>
      </w:pPr>
    </w:p>
    <w:p w14:paraId="362D67F7">
      <w:pPr>
        <w:spacing w:line="440" w:lineRule="exact"/>
        <w:rPr>
          <w:rFonts w:ascii="黑体" w:hAnsi="黑体" w:eastAsia="黑体" w:cs="黑体"/>
          <w:sz w:val="24"/>
        </w:rPr>
      </w:pPr>
    </w:p>
    <w:p w14:paraId="5A57D8B4">
      <w:pPr>
        <w:pStyle w:val="21"/>
        <w:spacing w:line="440" w:lineRule="exact"/>
        <w:rPr>
          <w:rFonts w:ascii="黑体" w:hAnsi="黑体" w:eastAsia="黑体" w:cs="黑体"/>
        </w:rPr>
      </w:pPr>
    </w:p>
    <w:p w14:paraId="37212B90">
      <w:pPr>
        <w:pStyle w:val="23"/>
        <w:spacing w:line="440" w:lineRule="exact"/>
        <w:rPr>
          <w:rFonts w:ascii="黑体" w:hAnsi="黑体" w:eastAsia="黑体" w:cs="黑体"/>
          <w:sz w:val="24"/>
        </w:rPr>
      </w:pPr>
    </w:p>
    <w:p w14:paraId="7B01FA02">
      <w:pPr>
        <w:spacing w:line="440" w:lineRule="exact"/>
        <w:rPr>
          <w:rFonts w:ascii="黑体" w:hAnsi="黑体" w:eastAsia="黑体" w:cs="黑体"/>
          <w:sz w:val="24"/>
        </w:rPr>
      </w:pPr>
    </w:p>
    <w:p w14:paraId="6BE2B3D9">
      <w:pPr>
        <w:pStyle w:val="21"/>
        <w:spacing w:line="440" w:lineRule="exact"/>
        <w:rPr>
          <w:rFonts w:ascii="黑体" w:hAnsi="黑体" w:eastAsia="黑体" w:cs="黑体"/>
        </w:rPr>
      </w:pPr>
    </w:p>
    <w:p w14:paraId="61D7CC4F">
      <w:pPr>
        <w:pStyle w:val="23"/>
        <w:spacing w:line="440" w:lineRule="exact"/>
        <w:rPr>
          <w:rFonts w:ascii="黑体" w:hAnsi="黑体" w:eastAsia="黑体" w:cs="黑体"/>
          <w:sz w:val="24"/>
        </w:rPr>
      </w:pPr>
    </w:p>
    <w:p w14:paraId="72756AC7">
      <w:pPr>
        <w:spacing w:line="440" w:lineRule="exact"/>
        <w:rPr>
          <w:rFonts w:ascii="黑体" w:hAnsi="黑体" w:eastAsia="黑体" w:cs="黑体"/>
          <w:sz w:val="24"/>
        </w:rPr>
      </w:pPr>
    </w:p>
    <w:p w14:paraId="7A50ED7E">
      <w:pPr>
        <w:spacing w:line="440" w:lineRule="exact"/>
        <w:rPr>
          <w:rFonts w:ascii="黑体" w:hAnsi="黑体" w:eastAsia="黑体" w:cs="黑体"/>
          <w:sz w:val="24"/>
        </w:rPr>
      </w:pPr>
    </w:p>
    <w:p w14:paraId="406A2E09">
      <w:pPr>
        <w:spacing w:line="440" w:lineRule="exact"/>
        <w:rPr>
          <w:rFonts w:ascii="黑体" w:hAnsi="黑体" w:eastAsia="黑体" w:cs="黑体"/>
          <w:sz w:val="24"/>
        </w:rPr>
      </w:pPr>
    </w:p>
    <w:p w14:paraId="647BC8F0">
      <w:pPr>
        <w:spacing w:line="440" w:lineRule="exact"/>
        <w:rPr>
          <w:rFonts w:ascii="黑体" w:hAnsi="黑体" w:eastAsia="黑体" w:cs="黑体"/>
          <w:sz w:val="24"/>
        </w:rPr>
      </w:pPr>
    </w:p>
    <w:p w14:paraId="50E51233">
      <w:pPr>
        <w:spacing w:line="440" w:lineRule="exact"/>
        <w:rPr>
          <w:rFonts w:ascii="黑体" w:hAnsi="黑体" w:eastAsia="黑体" w:cs="黑体"/>
          <w:sz w:val="24"/>
        </w:rPr>
      </w:pPr>
    </w:p>
    <w:p w14:paraId="7F6F8DDC">
      <w:pPr>
        <w:spacing w:line="440" w:lineRule="exact"/>
        <w:rPr>
          <w:rFonts w:ascii="黑体" w:hAnsi="黑体" w:eastAsia="黑体" w:cs="黑体"/>
          <w:sz w:val="24"/>
        </w:rPr>
      </w:pPr>
    </w:p>
    <w:p w14:paraId="691E31EE">
      <w:pPr>
        <w:spacing w:line="440" w:lineRule="exact"/>
        <w:rPr>
          <w:rFonts w:ascii="黑体" w:hAnsi="黑体" w:eastAsia="黑体" w:cs="黑体"/>
          <w:sz w:val="24"/>
        </w:rPr>
      </w:pPr>
    </w:p>
    <w:p w14:paraId="5393F7B1">
      <w:pPr>
        <w:spacing w:line="440" w:lineRule="exact"/>
        <w:rPr>
          <w:rFonts w:ascii="黑体" w:hAnsi="黑体" w:eastAsia="黑体" w:cs="黑体"/>
          <w:sz w:val="24"/>
        </w:rPr>
      </w:pPr>
    </w:p>
    <w:p w14:paraId="08C50643">
      <w:pPr>
        <w:spacing w:line="440" w:lineRule="exact"/>
        <w:rPr>
          <w:rFonts w:ascii="黑体" w:hAnsi="黑体" w:eastAsia="黑体" w:cs="黑体"/>
          <w:sz w:val="24"/>
        </w:rPr>
      </w:pPr>
    </w:p>
    <w:p w14:paraId="2F06BE7A">
      <w:pPr>
        <w:pStyle w:val="23"/>
        <w:spacing w:line="440" w:lineRule="exact"/>
        <w:rPr>
          <w:b w:val="0"/>
          <w:bCs w:val="0"/>
          <w:sz w:val="32"/>
          <w:szCs w:val="32"/>
        </w:rPr>
      </w:pPr>
      <w:r>
        <w:rPr>
          <w:rFonts w:eastAsia="黑体"/>
          <w:b w:val="0"/>
          <w:bCs w:val="0"/>
          <w:sz w:val="32"/>
          <w:szCs w:val="32"/>
        </w:rPr>
        <w:t>二〇</w:t>
      </w:r>
      <w:r>
        <w:rPr>
          <w:rFonts w:hint="eastAsia" w:eastAsia="黑体"/>
          <w:b w:val="0"/>
          <w:bCs w:val="0"/>
          <w:sz w:val="32"/>
          <w:szCs w:val="32"/>
        </w:rPr>
        <w:t>二五</w:t>
      </w:r>
      <w:r>
        <w:rPr>
          <w:rFonts w:eastAsia="黑体"/>
          <w:b w:val="0"/>
          <w:bCs w:val="0"/>
          <w:sz w:val="32"/>
          <w:szCs w:val="32"/>
        </w:rPr>
        <w:t>年</w:t>
      </w:r>
      <w:r>
        <w:rPr>
          <w:rFonts w:hint="eastAsia" w:eastAsia="黑体"/>
          <w:b w:val="0"/>
          <w:bCs w:val="0"/>
          <w:sz w:val="32"/>
          <w:szCs w:val="32"/>
          <w:lang w:eastAsia="zh-CN"/>
        </w:rPr>
        <w:t>九</w:t>
      </w:r>
      <w:r>
        <w:rPr>
          <w:rFonts w:eastAsia="黑体"/>
          <w:b w:val="0"/>
          <w:bCs w:val="0"/>
          <w:sz w:val="32"/>
          <w:szCs w:val="32"/>
        </w:rPr>
        <w:t>月</w:t>
      </w:r>
    </w:p>
    <w:p w14:paraId="233DD7C3">
      <w:pPr>
        <w:spacing w:line="440" w:lineRule="exact"/>
        <w:rPr>
          <w:sz w:val="24"/>
        </w:rPr>
        <w:sectPr>
          <w:footerReference r:id="rId3" w:type="default"/>
          <w:pgSz w:w="11906" w:h="16838"/>
          <w:pgMar w:top="1440" w:right="1800" w:bottom="1440" w:left="1800" w:header="851" w:footer="992" w:gutter="0"/>
          <w:cols w:space="425" w:num="1"/>
          <w:docGrid w:type="lines" w:linePitch="312" w:charSpace="0"/>
        </w:sectPr>
      </w:pPr>
    </w:p>
    <w:p w14:paraId="20CE404D">
      <w:pPr>
        <w:pStyle w:val="21"/>
        <w:snapToGrid w:val="0"/>
        <w:spacing w:line="360" w:lineRule="auto"/>
        <w:jc w:val="both"/>
        <w:rPr>
          <w:rFonts w:ascii="仿宋" w:hAnsi="仿宋" w:eastAsia="仿宋" w:cs="仿宋"/>
        </w:rPr>
      </w:pPr>
    </w:p>
    <w:p w14:paraId="4EEEB65E">
      <w:pPr>
        <w:pStyle w:val="14"/>
      </w:pPr>
    </w:p>
    <w:sdt>
      <w:sdtPr>
        <w:rPr>
          <w:rFonts w:ascii="宋体" w:hAnsi="宋体" w:eastAsia="宋体" w:cs="Times New Roman"/>
          <w:kern w:val="2"/>
          <w:sz w:val="21"/>
          <w:szCs w:val="24"/>
          <w:lang w:val="en-US" w:eastAsia="zh-CN" w:bidi="ar-SA"/>
        </w:rPr>
        <w:id w:val="147482779"/>
        <w15:color w:val="DBDBDB"/>
        <w:docPartObj>
          <w:docPartGallery w:val="Table of Contents"/>
          <w:docPartUnique/>
        </w:docPartObj>
      </w:sdtPr>
      <w:sdtEndPr>
        <w:rPr>
          <w:rFonts w:hint="eastAsia" w:ascii="黑体" w:hAnsi="黑体" w:eastAsia="黑体" w:cs="黑体"/>
          <w:color w:val="000000"/>
          <w:kern w:val="2"/>
          <w:sz w:val="24"/>
          <w:szCs w:val="28"/>
          <w:lang w:val="en-US" w:eastAsia="zh-CN" w:bidi="ar-SA"/>
        </w:rPr>
      </w:sdtEndPr>
      <w:sdtContent>
        <w:p w14:paraId="0C64FF68">
          <w:pPr>
            <w:spacing w:before="0" w:beforeLines="0" w:after="0" w:afterLines="0" w:line="240" w:lineRule="auto"/>
            <w:ind w:left="0" w:leftChars="0" w:right="0" w:rightChars="0" w:firstLine="0" w:firstLineChars="0"/>
            <w:jc w:val="center"/>
          </w:pPr>
          <w:bookmarkStart w:id="0" w:name="_Toc199439766"/>
          <w:bookmarkStart w:id="1" w:name="_Toc30910"/>
          <w:r>
            <w:rPr>
              <w:rFonts w:ascii="宋体" w:hAnsi="宋体" w:eastAsia="宋体"/>
              <w:sz w:val="21"/>
            </w:rPr>
            <w:t>目录</w:t>
          </w:r>
        </w:p>
        <w:p w14:paraId="76CAD3C6">
          <w:pPr>
            <w:pStyle w:val="28"/>
            <w:tabs>
              <w:tab w:val="right" w:leader="dot" w:pos="830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"1-1" \h \u </w:instrText>
          </w:r>
          <w:r>
            <w:rPr>
              <w:rFonts w:hint="eastAsia" w:ascii="宋体" w:hAnsi="宋体" w:eastAsia="宋体" w:cs="宋体"/>
              <w:sz w:val="28"/>
              <w:szCs w:val="28"/>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_Toc26715 </w:instrText>
          </w:r>
          <w:r>
            <w:rPr>
              <w:rFonts w:hint="eastAsia" w:ascii="宋体" w:hAnsi="宋体" w:eastAsia="宋体" w:cs="宋体"/>
              <w:sz w:val="28"/>
              <w:szCs w:val="28"/>
            </w:rPr>
            <w:fldChar w:fldCharType="separate"/>
          </w:r>
          <w:r>
            <w:rPr>
              <w:rFonts w:hint="eastAsia" w:ascii="宋体" w:hAnsi="宋体" w:eastAsia="宋体" w:cs="宋体"/>
              <w:sz w:val="28"/>
              <w:szCs w:val="28"/>
              <w:lang w:val="en-US" w:eastAsia="zh-CN"/>
            </w:rPr>
            <w:t>1、</w:t>
          </w:r>
          <w:r>
            <w:rPr>
              <w:rFonts w:hint="eastAsia" w:ascii="宋体" w:hAnsi="宋体" w:eastAsia="宋体" w:cs="宋体"/>
              <w:sz w:val="28"/>
              <w:szCs w:val="28"/>
            </w:rPr>
            <w:t>项目背景</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_Toc26715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93E57BD">
          <w:pPr>
            <w:pStyle w:val="28"/>
            <w:tabs>
              <w:tab w:val="right" w:leader="dot" w:pos="830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_Toc11682 </w:instrText>
          </w:r>
          <w:r>
            <w:rPr>
              <w:rFonts w:hint="eastAsia" w:ascii="宋体" w:hAnsi="宋体" w:eastAsia="宋体" w:cs="宋体"/>
              <w:sz w:val="28"/>
              <w:szCs w:val="28"/>
            </w:rPr>
            <w:fldChar w:fldCharType="separate"/>
          </w:r>
          <w:r>
            <w:rPr>
              <w:rFonts w:hint="eastAsia" w:ascii="宋体" w:hAnsi="宋体" w:eastAsia="宋体" w:cs="宋体"/>
              <w:kern w:val="2"/>
              <w:sz w:val="28"/>
              <w:szCs w:val="28"/>
              <w:lang w:val="en-US" w:eastAsia="zh-CN" w:bidi="ar-SA"/>
            </w:rPr>
            <w:t>2、标准制定的必要性</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_Toc11682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D785F5C">
          <w:pPr>
            <w:pStyle w:val="28"/>
            <w:tabs>
              <w:tab w:val="right" w:leader="dot" w:pos="830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_Toc3307 </w:instrText>
          </w:r>
          <w:r>
            <w:rPr>
              <w:rFonts w:hint="eastAsia" w:ascii="宋体" w:hAnsi="宋体" w:eastAsia="宋体" w:cs="宋体"/>
              <w:sz w:val="28"/>
              <w:szCs w:val="28"/>
            </w:rPr>
            <w:fldChar w:fldCharType="separate"/>
          </w:r>
          <w:r>
            <w:rPr>
              <w:rFonts w:hint="eastAsia" w:ascii="宋体" w:hAnsi="宋体" w:eastAsia="宋体" w:cs="宋体"/>
              <w:sz w:val="28"/>
              <w:szCs w:val="28"/>
              <w:lang w:val="en-US" w:eastAsia="zh-CN"/>
            </w:rPr>
            <w:t>3</w:t>
          </w:r>
          <w:r>
            <w:rPr>
              <w:rFonts w:hint="eastAsia" w:ascii="宋体" w:hAnsi="宋体" w:eastAsia="宋体" w:cs="宋体"/>
              <w:kern w:val="2"/>
              <w:sz w:val="28"/>
              <w:szCs w:val="28"/>
              <w:lang w:val="en-US" w:eastAsia="zh-CN" w:bidi="ar-SA"/>
            </w:rPr>
            <w:t>、标准编制原则与依据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_Toc3307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E20D73A">
          <w:pPr>
            <w:pStyle w:val="28"/>
            <w:tabs>
              <w:tab w:val="right" w:leader="dot" w:pos="830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_Toc8288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4、标准编制过程</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_Toc8288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DD7094C">
          <w:pPr>
            <w:pStyle w:val="28"/>
            <w:tabs>
              <w:tab w:val="right" w:leader="dot" w:pos="830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_Toc22018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5、</w:t>
          </w:r>
          <w:r>
            <w:rPr>
              <w:rFonts w:hint="eastAsia" w:ascii="宋体" w:hAnsi="宋体" w:eastAsia="宋体" w:cs="宋体"/>
              <w:bCs/>
              <w:sz w:val="28"/>
              <w:szCs w:val="28"/>
            </w:rPr>
            <w:t>标准主要内容说明</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_Toc22018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0D4E428">
          <w:pPr>
            <w:pStyle w:val="28"/>
            <w:tabs>
              <w:tab w:val="right" w:leader="dot" w:pos="8306"/>
            </w:tabs>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_Toc6478 </w:instrText>
          </w:r>
          <w:r>
            <w:rPr>
              <w:rFonts w:hint="eastAsia" w:ascii="宋体" w:hAnsi="宋体" w:eastAsia="宋体" w:cs="宋体"/>
              <w:sz w:val="28"/>
              <w:szCs w:val="28"/>
            </w:rPr>
            <w:fldChar w:fldCharType="separate"/>
          </w:r>
          <w:r>
            <w:rPr>
              <w:rFonts w:hint="eastAsia" w:ascii="宋体" w:hAnsi="宋体" w:eastAsia="宋体" w:cs="宋体"/>
              <w:bCs/>
              <w:sz w:val="28"/>
              <w:szCs w:val="28"/>
              <w:lang w:val="en-US" w:eastAsia="zh-CN"/>
            </w:rPr>
            <w:t>6、实施建议</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_Toc6478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A6FABE0">
          <w:pPr>
            <w:pStyle w:val="21"/>
            <w:snapToGrid w:val="0"/>
            <w:spacing w:line="360" w:lineRule="auto"/>
            <w:jc w:val="both"/>
            <w:outlineLvl w:val="9"/>
            <w:rPr>
              <w:rFonts w:hint="eastAsia" w:ascii="黑体" w:hAnsi="黑体" w:eastAsia="黑体" w:cs="黑体"/>
              <w:sz w:val="28"/>
              <w:szCs w:val="28"/>
            </w:rPr>
          </w:pPr>
          <w:r>
            <w:rPr>
              <w:rFonts w:hint="eastAsia" w:ascii="宋体" w:hAnsi="宋体" w:eastAsia="宋体" w:cs="宋体"/>
              <w:sz w:val="28"/>
              <w:szCs w:val="28"/>
            </w:rPr>
            <w:fldChar w:fldCharType="end"/>
          </w:r>
        </w:p>
      </w:sdtContent>
    </w:sdt>
    <w:p w14:paraId="3D5F2132">
      <w:pPr>
        <w:pStyle w:val="21"/>
        <w:snapToGrid w:val="0"/>
        <w:spacing w:line="360" w:lineRule="auto"/>
        <w:jc w:val="both"/>
        <w:outlineLvl w:val="0"/>
        <w:rPr>
          <w:rFonts w:hint="eastAsia" w:ascii="黑体" w:hAnsi="黑体" w:eastAsia="黑体" w:cs="黑体"/>
          <w:sz w:val="28"/>
          <w:szCs w:val="28"/>
          <w:lang w:val="en-US" w:eastAsia="zh-CN"/>
        </w:rPr>
        <w:sectPr>
          <w:footerReference r:id="rId4" w:type="default"/>
          <w:pgSz w:w="11906" w:h="16838"/>
          <w:pgMar w:top="1440" w:right="1800" w:bottom="1440" w:left="1800" w:header="851" w:footer="992" w:gutter="0"/>
          <w:cols w:space="425" w:num="1"/>
          <w:docGrid w:type="lines" w:linePitch="312" w:charSpace="0"/>
        </w:sectPr>
      </w:pPr>
      <w:bookmarkStart w:id="2" w:name="_Toc26715"/>
    </w:p>
    <w:p w14:paraId="3C852834">
      <w:pPr>
        <w:pStyle w:val="21"/>
        <w:snapToGrid w:val="0"/>
        <w:spacing w:line="360" w:lineRule="auto"/>
        <w:jc w:val="both"/>
        <w:outlineLvl w:val="0"/>
        <w:rPr>
          <w:rFonts w:ascii="黑体" w:hAnsi="黑体" w:eastAsia="黑体" w:cs="黑体"/>
          <w:sz w:val="28"/>
          <w:szCs w:val="28"/>
        </w:rPr>
      </w:pPr>
      <w:r>
        <w:rPr>
          <w:rFonts w:hint="eastAsia" w:ascii="黑体" w:hAnsi="黑体" w:eastAsia="黑体" w:cs="黑体"/>
          <w:sz w:val="28"/>
          <w:szCs w:val="28"/>
          <w:lang w:val="en-US" w:eastAsia="zh-CN"/>
        </w:rPr>
        <w:t>1、</w:t>
      </w:r>
      <w:r>
        <w:rPr>
          <w:rFonts w:hint="eastAsia" w:ascii="黑体" w:hAnsi="黑体" w:eastAsia="黑体" w:cs="黑体"/>
          <w:sz w:val="28"/>
          <w:szCs w:val="28"/>
        </w:rPr>
        <w:t>项目背景</w:t>
      </w:r>
      <w:bookmarkEnd w:id="0"/>
      <w:bookmarkEnd w:id="1"/>
      <w:bookmarkEnd w:id="2"/>
    </w:p>
    <w:p w14:paraId="6112A386">
      <w:pPr>
        <w:pStyle w:val="25"/>
        <w:snapToGrid w:val="0"/>
        <w:spacing w:line="360" w:lineRule="auto"/>
        <w:ind w:firstLine="560"/>
        <w:rPr>
          <w:rFonts w:hint="eastAsia" w:cs="仿宋" w:asciiTheme="minorEastAsia" w:hAnsiTheme="minorEastAsia" w:eastAsiaTheme="minorEastAsia"/>
          <w:sz w:val="28"/>
          <w:szCs w:val="28"/>
        </w:rPr>
      </w:pPr>
      <w:r>
        <w:rPr>
          <w:rFonts w:hint="eastAsia" w:cs="仿宋" w:asciiTheme="minorEastAsia" w:hAnsiTheme="minorEastAsia" w:eastAsiaTheme="minorEastAsia"/>
          <w:sz w:val="28"/>
          <w:szCs w:val="28"/>
        </w:rPr>
        <w:t>为进一步贯彻习近平总书记提出的“坚持培育和发展核安全文化”的要求，指导民用核安全</w:t>
      </w:r>
      <w:r>
        <w:rPr>
          <w:rFonts w:hint="eastAsia" w:cs="仿宋" w:asciiTheme="minorEastAsia" w:hAnsiTheme="minorEastAsia" w:eastAsiaTheme="minorEastAsia"/>
          <w:sz w:val="28"/>
          <w:szCs w:val="28"/>
          <w:highlight w:val="none"/>
        </w:rPr>
        <w:t>设备单位核安全文化评估工作，明确核电设备产业链核安全文化评估衡量标准，生态环境部2024年11月下达标准年度计划，编制《民用核安全设备制造单位</w:t>
      </w:r>
      <w:r>
        <w:rPr>
          <w:rFonts w:hint="eastAsia" w:cs="仿宋" w:asciiTheme="minorEastAsia" w:hAnsiTheme="minorEastAsia" w:eastAsiaTheme="minorEastAsia"/>
          <w:sz w:val="28"/>
          <w:szCs w:val="28"/>
        </w:rPr>
        <w:t>核安全文化评估细则》，由中国核安全与环境文化促进会承担标准编制任务。</w:t>
      </w:r>
    </w:p>
    <w:p w14:paraId="43446A39">
      <w:pPr>
        <w:pStyle w:val="25"/>
        <w:snapToGrid w:val="0"/>
        <w:spacing w:line="360" w:lineRule="auto"/>
        <w:ind w:left="0" w:leftChars="0" w:firstLine="0" w:firstLineChars="0"/>
        <w:outlineLvl w:val="0"/>
        <w:rPr>
          <w:rFonts w:hint="default" w:ascii="黑体" w:hAnsi="黑体" w:eastAsia="黑体" w:cs="黑体"/>
          <w:color w:val="000000"/>
          <w:kern w:val="2"/>
          <w:sz w:val="28"/>
          <w:szCs w:val="28"/>
          <w:lang w:val="en-US" w:eastAsia="zh-CN" w:bidi="ar-SA"/>
        </w:rPr>
      </w:pPr>
      <w:bookmarkStart w:id="3" w:name="_Toc11682"/>
      <w:r>
        <w:rPr>
          <w:rFonts w:hint="eastAsia" w:ascii="黑体" w:hAnsi="黑体" w:eastAsia="黑体" w:cs="黑体"/>
          <w:color w:val="000000"/>
          <w:kern w:val="2"/>
          <w:sz w:val="28"/>
          <w:szCs w:val="28"/>
          <w:lang w:val="en-US" w:eastAsia="zh-CN" w:bidi="ar-SA"/>
        </w:rPr>
        <w:t>2、标准制定的必要性</w:t>
      </w:r>
      <w:bookmarkEnd w:id="3"/>
    </w:p>
    <w:p w14:paraId="47FC2E5C">
      <w:pPr>
        <w:pStyle w:val="25"/>
        <w:snapToGrid w:val="0"/>
        <w:spacing w:line="360" w:lineRule="auto"/>
        <w:ind w:firstLine="56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2018年正式实施的《核安全法》第九条要求：“核设施营运单位和为其提供设备、工程以及服务等的单位应当积极培育和建设核安全文化，将核安全文化融入生产、经营、科研和管理的各个环节。”民用核安全设备对核电厂的安全至关重要，民用核安全设备制造单位需通过核安全文化建设更好的满足产品质量要求，即用核安全文化的理念强化质量管理，持续提升设备质量，为核电厂安全运营提供保障。</w:t>
      </w:r>
    </w:p>
    <w:p w14:paraId="097178E9">
      <w:pPr>
        <w:pStyle w:val="25"/>
        <w:snapToGrid w:val="0"/>
        <w:spacing w:line="360" w:lineRule="auto"/>
        <w:ind w:firstLine="56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目前，国际上，IAEA、INPO、WANO等组织对核安全文化评估进开展了相关研究，国内各核电建设单位、核能行业协会也陆续开展了对设备供应商的核安全文化评估，但各方评估方式和内容各不相同。为了统一评估尺度，提升评估的科学性、规范性和可操作性，引导和推动民用核安全设备制造单位系统化、规范化地建设和发展核安全文化，亟需制定一份行业公认的、细化的评估标准。</w:t>
      </w:r>
    </w:p>
    <w:p w14:paraId="7914C2B8">
      <w:pPr>
        <w:pStyle w:val="25"/>
        <w:snapToGrid w:val="0"/>
        <w:spacing w:line="360" w:lineRule="auto"/>
        <w:ind w:firstLine="560"/>
        <w:rPr>
          <w:rFonts w:hint="default"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2025年，中国核安全与环境文化促进会（以下简称“文促会”）编制了《核安全文化评估实施指南》，用以指导核电集团，核设施营运单位和为其提供设备、工程以及服务等的单位开展核安全文化评估活动。该《指南》为通用标准，部分要求对设备制造领域针对性不足，需进行进一步完善和细化。</w:t>
      </w:r>
    </w:p>
    <w:p w14:paraId="28377A2D">
      <w:pPr>
        <w:pStyle w:val="25"/>
        <w:snapToGrid w:val="0"/>
        <w:spacing w:line="360" w:lineRule="auto"/>
        <w:ind w:firstLine="56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同时，在当前核电发展新形势下，总结国内设备制造领域核安全文化建设的良好经验与实践，形成统一指导和推动民用核安全设备制造单位开展核安全文化建设的标准，也是保障设备质量和核安全的现实需要。</w:t>
      </w:r>
    </w:p>
    <w:p w14:paraId="6EDE344B">
      <w:pPr>
        <w:pStyle w:val="25"/>
        <w:snapToGrid w:val="0"/>
        <w:spacing w:line="360" w:lineRule="auto"/>
        <w:ind w:left="0" w:leftChars="0" w:firstLine="0" w:firstLineChars="0"/>
        <w:outlineLvl w:val="0"/>
        <w:rPr>
          <w:rFonts w:hint="default" w:ascii="黑体" w:hAnsi="黑体" w:eastAsia="黑体" w:cs="黑体"/>
          <w:color w:val="000000"/>
          <w:kern w:val="2"/>
          <w:sz w:val="28"/>
          <w:szCs w:val="28"/>
          <w:lang w:val="en-US" w:eastAsia="zh-CN" w:bidi="ar-SA"/>
        </w:rPr>
      </w:pPr>
      <w:bookmarkStart w:id="4" w:name="_Toc3307"/>
      <w:r>
        <w:rPr>
          <w:rFonts w:hint="eastAsia" w:cs="仿宋" w:asciiTheme="minorEastAsia" w:hAnsiTheme="minorEastAsia" w:eastAsiaTheme="minorEastAsia"/>
          <w:sz w:val="28"/>
          <w:szCs w:val="28"/>
          <w:lang w:val="en-US" w:eastAsia="zh-CN"/>
        </w:rPr>
        <w:t>3</w:t>
      </w:r>
      <w:r>
        <w:rPr>
          <w:rFonts w:hint="eastAsia" w:ascii="黑体" w:hAnsi="黑体" w:eastAsia="黑体" w:cs="黑体"/>
          <w:color w:val="000000"/>
          <w:kern w:val="2"/>
          <w:sz w:val="28"/>
          <w:szCs w:val="28"/>
          <w:lang w:val="en-US" w:eastAsia="zh-CN" w:bidi="ar-SA"/>
        </w:rPr>
        <w:t>、标准编制原则与依据</w:t>
      </w:r>
      <w:bookmarkEnd w:id="4"/>
    </w:p>
    <w:p w14:paraId="0A69D1B3">
      <w:pPr>
        <w:pStyle w:val="25"/>
        <w:snapToGrid w:val="0"/>
        <w:spacing w:line="360" w:lineRule="auto"/>
        <w:ind w:firstLine="560"/>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本标准</w:t>
      </w:r>
      <w:r>
        <w:rPr>
          <w:rFonts w:hint="eastAsia" w:cs="仿宋" w:asciiTheme="minorEastAsia" w:hAnsiTheme="minorEastAsia" w:eastAsiaTheme="minorEastAsia"/>
          <w:sz w:val="28"/>
          <w:szCs w:val="28"/>
          <w:lang w:val="en-US" w:eastAsia="zh-CN"/>
        </w:rPr>
        <w:t>既是为</w:t>
      </w:r>
      <w:r>
        <w:rPr>
          <w:rFonts w:hint="default" w:cs="仿宋" w:asciiTheme="minorEastAsia" w:hAnsiTheme="minorEastAsia" w:eastAsiaTheme="minorEastAsia"/>
          <w:sz w:val="28"/>
          <w:szCs w:val="28"/>
          <w:lang w:val="en-US" w:eastAsia="zh-CN"/>
        </w:rPr>
        <w:t>民用核安全设备单位的核安全文化评估</w:t>
      </w:r>
      <w:r>
        <w:rPr>
          <w:rFonts w:hint="eastAsia" w:cs="仿宋" w:asciiTheme="minorEastAsia" w:hAnsiTheme="minorEastAsia" w:eastAsiaTheme="minorEastAsia"/>
          <w:sz w:val="28"/>
          <w:szCs w:val="28"/>
          <w:lang w:val="en-US" w:eastAsia="zh-CN"/>
        </w:rPr>
        <w:t>提供</w:t>
      </w:r>
      <w:r>
        <w:rPr>
          <w:rFonts w:hint="default" w:cs="仿宋" w:asciiTheme="minorEastAsia" w:hAnsiTheme="minorEastAsia" w:eastAsiaTheme="minorEastAsia"/>
          <w:sz w:val="28"/>
          <w:szCs w:val="28"/>
          <w:lang w:val="en-US" w:eastAsia="zh-CN"/>
        </w:rPr>
        <w:t>指南，</w:t>
      </w:r>
      <w:r>
        <w:rPr>
          <w:rFonts w:hint="eastAsia" w:cs="仿宋" w:asciiTheme="minorEastAsia" w:hAnsiTheme="minorEastAsia" w:eastAsiaTheme="minorEastAsia"/>
          <w:sz w:val="28"/>
          <w:szCs w:val="28"/>
          <w:lang w:val="en-US" w:eastAsia="zh-CN"/>
        </w:rPr>
        <w:t>也是为</w:t>
      </w:r>
      <w:r>
        <w:rPr>
          <w:rFonts w:hint="default" w:cs="仿宋" w:asciiTheme="minorEastAsia" w:hAnsiTheme="minorEastAsia" w:eastAsiaTheme="minorEastAsia"/>
          <w:sz w:val="28"/>
          <w:szCs w:val="28"/>
          <w:lang w:val="en-US" w:eastAsia="zh-CN"/>
        </w:rPr>
        <w:t>民用核安全设备单位自身开展核安全文化体系的建设与持续改进</w:t>
      </w:r>
      <w:r>
        <w:rPr>
          <w:rFonts w:hint="eastAsia" w:cs="仿宋" w:asciiTheme="minorEastAsia" w:hAnsiTheme="minorEastAsia" w:eastAsiaTheme="minorEastAsia"/>
          <w:sz w:val="28"/>
          <w:szCs w:val="28"/>
          <w:lang w:val="en-US" w:eastAsia="zh-CN"/>
        </w:rPr>
        <w:t>提供</w:t>
      </w:r>
      <w:r>
        <w:rPr>
          <w:rFonts w:hint="default" w:cs="仿宋" w:asciiTheme="minorEastAsia" w:hAnsiTheme="minorEastAsia" w:eastAsiaTheme="minorEastAsia"/>
          <w:sz w:val="28"/>
          <w:szCs w:val="28"/>
          <w:lang w:val="en-US" w:eastAsia="zh-CN"/>
        </w:rPr>
        <w:t>参考</w:t>
      </w:r>
      <w:r>
        <w:rPr>
          <w:rFonts w:hint="eastAsia" w:cs="仿宋" w:asciiTheme="minorEastAsia" w:hAnsiTheme="minorEastAsia" w:eastAsiaTheme="minorEastAsia"/>
          <w:sz w:val="28"/>
          <w:szCs w:val="28"/>
          <w:lang w:val="en-US" w:eastAsia="zh-CN"/>
        </w:rPr>
        <w:t>，编制过程主要遵循以下原则：</w:t>
      </w:r>
    </w:p>
    <w:p w14:paraId="3709BBF0">
      <w:pPr>
        <w:pStyle w:val="25"/>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left="0" w:leftChars="0" w:firstLine="560" w:firstLineChars="200"/>
        <w:textAlignment w:val="auto"/>
        <w:rPr>
          <w:rFonts w:hint="default"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一致性：与《核安全文化特征》保持基本一致，与文促会编制的《核安全文化评估实施指南》保持基本一致，与国内外成熟经验保持基本一致，消化吸收以往核安全文化评估的成熟经验。</w:t>
      </w:r>
    </w:p>
    <w:p w14:paraId="106DFBF7">
      <w:pPr>
        <w:pStyle w:val="25"/>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left="0" w:leftChars="0" w:firstLine="560" w:firstLineChars="200"/>
        <w:textAlignment w:val="auto"/>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系统性</w:t>
      </w:r>
      <w:r>
        <w:rPr>
          <w:rFonts w:hint="eastAsia" w:cs="仿宋" w:asciiTheme="minorEastAsia" w:hAnsiTheme="minorEastAsia" w:eastAsiaTheme="minorEastAsia"/>
          <w:sz w:val="28"/>
          <w:szCs w:val="28"/>
          <w:lang w:val="en-US" w:eastAsia="zh-CN"/>
        </w:rPr>
        <w:t>：</w:t>
      </w:r>
      <w:r>
        <w:rPr>
          <w:rFonts w:hint="default" w:cs="仿宋" w:asciiTheme="minorEastAsia" w:hAnsiTheme="minorEastAsia" w:eastAsiaTheme="minorEastAsia"/>
          <w:sz w:val="28"/>
          <w:szCs w:val="28"/>
          <w:lang w:val="en-US" w:eastAsia="zh-CN"/>
        </w:rPr>
        <w:t>覆盖核安全文化</w:t>
      </w:r>
      <w:r>
        <w:rPr>
          <w:rFonts w:hint="eastAsia" w:cs="仿宋" w:asciiTheme="minorEastAsia" w:hAnsiTheme="minorEastAsia" w:eastAsiaTheme="minorEastAsia"/>
          <w:sz w:val="28"/>
          <w:szCs w:val="28"/>
          <w:lang w:val="en-US" w:eastAsia="zh-CN"/>
        </w:rPr>
        <w:t>八大特征和</w:t>
      </w:r>
      <w:r>
        <w:rPr>
          <w:rFonts w:hint="default" w:cs="仿宋" w:asciiTheme="minorEastAsia" w:hAnsiTheme="minorEastAsia" w:eastAsiaTheme="minorEastAsia"/>
          <w:sz w:val="28"/>
          <w:szCs w:val="28"/>
          <w:lang w:val="en-US" w:eastAsia="zh-CN"/>
        </w:rPr>
        <w:t>关键要素</w:t>
      </w:r>
      <w:r>
        <w:rPr>
          <w:rFonts w:hint="eastAsia" w:cs="仿宋" w:asciiTheme="minorEastAsia" w:hAnsiTheme="minorEastAsia" w:eastAsiaTheme="minorEastAsia"/>
          <w:sz w:val="28"/>
          <w:szCs w:val="28"/>
          <w:lang w:val="en-US" w:eastAsia="zh-CN"/>
        </w:rPr>
        <w:t>，</w:t>
      </w:r>
      <w:r>
        <w:rPr>
          <w:rFonts w:hint="default" w:cs="仿宋" w:asciiTheme="minorEastAsia" w:hAnsiTheme="minorEastAsia" w:eastAsiaTheme="minorEastAsia"/>
          <w:sz w:val="28"/>
          <w:szCs w:val="28"/>
          <w:lang w:val="en-US" w:eastAsia="zh-CN"/>
        </w:rPr>
        <w:t>形成一个完整的评估体系。</w:t>
      </w:r>
    </w:p>
    <w:p w14:paraId="38987928">
      <w:pPr>
        <w:pStyle w:val="25"/>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left="0" w:leftChars="0" w:firstLine="560" w:firstLineChars="200"/>
        <w:textAlignment w:val="auto"/>
        <w:rPr>
          <w:rFonts w:hint="default"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适用性：从实际需求出发，基于设备制造单位的特点和以往评估实践经验，对评估要素进行了适应性调整，并根据相关性设置了不同特征和要素的的权重，使标准具有更强的适用性。</w:t>
      </w:r>
    </w:p>
    <w:p w14:paraId="73FA9C4E">
      <w:pPr>
        <w:pStyle w:val="25"/>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left="0" w:leftChars="0" w:firstLine="560" w:firstLineChars="200"/>
        <w:textAlignment w:val="auto"/>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可操作性</w:t>
      </w:r>
      <w:r>
        <w:rPr>
          <w:rFonts w:hint="eastAsia" w:cs="仿宋" w:asciiTheme="minorEastAsia" w:hAnsiTheme="minorEastAsia" w:eastAsiaTheme="minorEastAsia"/>
          <w:sz w:val="28"/>
          <w:szCs w:val="28"/>
          <w:lang w:val="en-US" w:eastAsia="zh-CN"/>
        </w:rPr>
        <w:t>：每个评估要素设置了五级评分标准，各</w:t>
      </w:r>
      <w:r>
        <w:rPr>
          <w:rFonts w:hint="default" w:cs="仿宋" w:asciiTheme="minorEastAsia" w:hAnsiTheme="minorEastAsia" w:eastAsiaTheme="minorEastAsia"/>
          <w:sz w:val="28"/>
          <w:szCs w:val="28"/>
          <w:lang w:val="en-US" w:eastAsia="zh-CN"/>
        </w:rPr>
        <w:t>评估条款</w:t>
      </w:r>
      <w:r>
        <w:rPr>
          <w:rFonts w:hint="eastAsia" w:cs="仿宋" w:asciiTheme="minorEastAsia" w:hAnsiTheme="minorEastAsia" w:eastAsiaTheme="minorEastAsia"/>
          <w:sz w:val="28"/>
          <w:szCs w:val="28"/>
          <w:lang w:val="en-US" w:eastAsia="zh-CN"/>
        </w:rPr>
        <w:t>尽量</w:t>
      </w:r>
      <w:r>
        <w:rPr>
          <w:rFonts w:hint="default" w:cs="仿宋" w:asciiTheme="minorEastAsia" w:hAnsiTheme="minorEastAsia" w:eastAsiaTheme="minorEastAsia"/>
          <w:sz w:val="28"/>
          <w:szCs w:val="28"/>
          <w:lang w:val="en-US" w:eastAsia="zh-CN"/>
        </w:rPr>
        <w:t>具体、明确，</w:t>
      </w:r>
      <w:r>
        <w:rPr>
          <w:rFonts w:hint="eastAsia" w:cs="仿宋" w:asciiTheme="minorEastAsia" w:hAnsiTheme="minorEastAsia" w:eastAsiaTheme="minorEastAsia"/>
          <w:sz w:val="28"/>
          <w:szCs w:val="28"/>
          <w:lang w:val="en-US" w:eastAsia="zh-CN"/>
        </w:rPr>
        <w:t>并提供实践举例和建议的评估方式</w:t>
      </w:r>
      <w:r>
        <w:rPr>
          <w:rFonts w:hint="default" w:cs="仿宋" w:asciiTheme="minorEastAsia" w:hAnsiTheme="minorEastAsia" w:eastAsiaTheme="minorEastAsia"/>
          <w:sz w:val="28"/>
          <w:szCs w:val="28"/>
          <w:lang w:val="en-US" w:eastAsia="zh-CN"/>
        </w:rPr>
        <w:t>，便于评估人员现场使用。</w:t>
      </w:r>
    </w:p>
    <w:p w14:paraId="2ECB018D">
      <w:pPr>
        <w:pStyle w:val="25"/>
        <w:snapToGrid w:val="0"/>
        <w:spacing w:line="360" w:lineRule="auto"/>
        <w:ind w:firstLine="56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标准</w:t>
      </w:r>
      <w:r>
        <w:rPr>
          <w:rFonts w:hint="default" w:cs="仿宋" w:asciiTheme="minorEastAsia" w:hAnsiTheme="minorEastAsia" w:eastAsiaTheme="minorEastAsia"/>
          <w:sz w:val="28"/>
          <w:szCs w:val="28"/>
          <w:lang w:val="en-US" w:eastAsia="zh-CN"/>
        </w:rPr>
        <w:t>主要编制依据</w:t>
      </w:r>
      <w:r>
        <w:rPr>
          <w:rFonts w:hint="eastAsia" w:cs="仿宋" w:asciiTheme="minorEastAsia" w:hAnsiTheme="minorEastAsia" w:eastAsiaTheme="minorEastAsia"/>
          <w:sz w:val="28"/>
          <w:szCs w:val="28"/>
          <w:lang w:val="en-US" w:eastAsia="zh-CN"/>
        </w:rPr>
        <w:t>如下：</w:t>
      </w:r>
    </w:p>
    <w:p w14:paraId="0A233A7C">
      <w:pPr>
        <w:pStyle w:val="25"/>
        <w:numPr>
          <w:ilvl w:val="0"/>
          <w:numId w:val="3"/>
        </w:numPr>
        <w:snapToGrid w:val="0"/>
        <w:spacing w:line="360" w:lineRule="auto"/>
        <w:ind w:left="1050" w:leftChars="0" w:hanging="420" w:firstLineChars="0"/>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《中华人民共和国核安全法》（2018年1月1日起施行）</w:t>
      </w:r>
    </w:p>
    <w:p w14:paraId="33F1039F">
      <w:pPr>
        <w:pStyle w:val="25"/>
        <w:numPr>
          <w:ilvl w:val="0"/>
          <w:numId w:val="3"/>
        </w:numPr>
        <w:snapToGrid w:val="0"/>
        <w:spacing w:line="360" w:lineRule="auto"/>
        <w:ind w:left="1050" w:leftChars="0" w:hanging="420" w:firstLineChars="0"/>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《核安全文化政策声明》（2014年发布）</w:t>
      </w:r>
    </w:p>
    <w:p w14:paraId="3A02636D">
      <w:pPr>
        <w:pStyle w:val="25"/>
        <w:numPr>
          <w:ilvl w:val="0"/>
          <w:numId w:val="3"/>
        </w:numPr>
        <w:snapToGrid w:val="0"/>
        <w:spacing w:line="360" w:lineRule="auto"/>
        <w:ind w:left="1050" w:leftChars="0" w:hanging="420" w:firstLineChars="0"/>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《核安全文化特征》（2017年发布）</w:t>
      </w:r>
    </w:p>
    <w:p w14:paraId="1184BC66">
      <w:pPr>
        <w:pStyle w:val="25"/>
        <w:numPr>
          <w:ilvl w:val="0"/>
          <w:numId w:val="3"/>
        </w:numPr>
        <w:snapToGrid w:val="0"/>
        <w:spacing w:line="360" w:lineRule="auto"/>
        <w:ind w:left="1050" w:leftChars="0" w:hanging="420" w:firstLineChars="0"/>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《安全文化》IAEA 安全丛书 No.75-INSAG-4（1991年发布）</w:t>
      </w:r>
    </w:p>
    <w:p w14:paraId="73042798">
      <w:pPr>
        <w:pStyle w:val="25"/>
        <w:numPr>
          <w:ilvl w:val="0"/>
          <w:numId w:val="3"/>
        </w:numPr>
        <w:snapToGrid w:val="0"/>
        <w:spacing w:line="360" w:lineRule="auto"/>
        <w:ind w:left="1050" w:leftChars="0" w:hanging="420" w:firstLineChars="0"/>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《强化安全文化的关键实践》IAEA 安全丛书 No.75-INSAG-15（2002年发布）</w:t>
      </w:r>
    </w:p>
    <w:p w14:paraId="719E2CCC">
      <w:pPr>
        <w:pStyle w:val="25"/>
        <w:numPr>
          <w:ilvl w:val="0"/>
          <w:numId w:val="3"/>
        </w:numPr>
        <w:snapToGrid w:val="0"/>
        <w:spacing w:line="360" w:lineRule="auto"/>
        <w:ind w:left="1050" w:leftChars="0" w:hanging="420" w:firstLineChars="0"/>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《健康的核安全文化特征》WANO PL-2013-1</w:t>
      </w:r>
    </w:p>
    <w:p w14:paraId="461BA3C2">
      <w:pPr>
        <w:pStyle w:val="25"/>
        <w:numPr>
          <w:ilvl w:val="0"/>
          <w:numId w:val="3"/>
        </w:numPr>
        <w:snapToGrid w:val="0"/>
        <w:spacing w:line="360" w:lineRule="auto"/>
        <w:ind w:left="1050" w:leftChars="0" w:hanging="420" w:firstLineChars="0"/>
        <w:rPr>
          <w:rFonts w:hint="default" w:cs="仿宋" w:asciiTheme="minorEastAsia" w:hAnsiTheme="minorEastAsia" w:eastAsiaTheme="minorEastAsia"/>
          <w:sz w:val="28"/>
          <w:szCs w:val="28"/>
          <w:lang w:val="en-US" w:eastAsia="zh-CN"/>
        </w:rPr>
      </w:pPr>
      <w:r>
        <w:rPr>
          <w:rFonts w:hint="default" w:cs="仿宋" w:asciiTheme="minorEastAsia" w:hAnsiTheme="minorEastAsia" w:eastAsiaTheme="minorEastAsia"/>
          <w:sz w:val="28"/>
          <w:szCs w:val="28"/>
          <w:lang w:val="en-US" w:eastAsia="zh-CN"/>
        </w:rPr>
        <w:t>《核安全文化评估实施指南》HJXXX-20XX</w:t>
      </w:r>
    </w:p>
    <w:p w14:paraId="593225EC">
      <w:pPr>
        <w:pStyle w:val="25"/>
        <w:snapToGrid w:val="0"/>
        <w:spacing w:line="360" w:lineRule="auto"/>
        <w:ind w:left="0" w:leftChars="0" w:firstLine="0" w:firstLineChars="0"/>
        <w:outlineLvl w:val="0"/>
        <w:rPr>
          <w:rFonts w:hint="eastAsia" w:cs="仿宋" w:asciiTheme="minorEastAsia" w:hAnsiTheme="minorEastAsia" w:eastAsiaTheme="minorEastAsia"/>
          <w:b/>
          <w:bCs/>
          <w:sz w:val="28"/>
          <w:szCs w:val="28"/>
          <w:lang w:val="en-US" w:eastAsia="zh-CN"/>
        </w:rPr>
      </w:pPr>
      <w:bookmarkStart w:id="5" w:name="_Toc8288"/>
      <w:r>
        <w:rPr>
          <w:rFonts w:hint="eastAsia" w:cs="仿宋" w:asciiTheme="minorEastAsia" w:hAnsiTheme="minorEastAsia" w:eastAsiaTheme="minorEastAsia"/>
          <w:b/>
          <w:bCs/>
          <w:sz w:val="28"/>
          <w:szCs w:val="28"/>
          <w:lang w:val="en-US" w:eastAsia="zh-CN"/>
        </w:rPr>
        <w:t>4、 标准编制过程</w:t>
      </w:r>
      <w:bookmarkEnd w:id="5"/>
    </w:p>
    <w:p w14:paraId="5B2FA598">
      <w:pPr>
        <w:pStyle w:val="21"/>
        <w:numPr>
          <w:ilvl w:val="0"/>
          <w:numId w:val="4"/>
        </w:numPr>
        <w:snapToGrid w:val="0"/>
        <w:spacing w:line="360" w:lineRule="auto"/>
        <w:ind w:left="1055" w:leftChars="0" w:hanging="425" w:firstLineChars="0"/>
        <w:jc w:val="both"/>
        <w:rPr>
          <w:rFonts w:cs="仿宋" w:asciiTheme="minorEastAsia" w:hAnsiTheme="minorEastAsia"/>
          <w:sz w:val="28"/>
          <w:szCs w:val="28"/>
        </w:rPr>
      </w:pPr>
      <w:r>
        <w:rPr>
          <w:rFonts w:hint="eastAsia" w:cs="仿宋" w:asciiTheme="minorEastAsia" w:hAnsiTheme="minorEastAsia"/>
          <w:sz w:val="28"/>
          <w:szCs w:val="28"/>
        </w:rPr>
        <w:t>成立标准编写组，开展前期调研</w:t>
      </w:r>
    </w:p>
    <w:p w14:paraId="7D63A725">
      <w:pPr>
        <w:pStyle w:val="21"/>
        <w:snapToGrid w:val="0"/>
        <w:spacing w:line="360" w:lineRule="auto"/>
        <w:ind w:firstLine="560" w:firstLineChars="200"/>
        <w:jc w:val="both"/>
        <w:rPr>
          <w:rFonts w:cs="仿宋" w:asciiTheme="minorEastAsia" w:hAnsiTheme="minorEastAsia"/>
          <w:sz w:val="28"/>
          <w:szCs w:val="28"/>
        </w:rPr>
      </w:pPr>
      <w:r>
        <w:rPr>
          <w:rFonts w:hint="eastAsia" w:cs="仿宋" w:asciiTheme="minorEastAsia" w:hAnsiTheme="minorEastAsia"/>
          <w:sz w:val="28"/>
          <w:szCs w:val="28"/>
        </w:rPr>
        <w:t>2024年1-10月，组织专业人员，成立标准编写组，制定标准编制工作大纲，收集、调研和分析国内外核安全文化建设相关标准、指南和技术文件，形成技术</w:t>
      </w:r>
      <w:r>
        <w:rPr>
          <w:rFonts w:hint="eastAsia" w:cs="仿宋" w:asciiTheme="minorEastAsia" w:hAnsiTheme="minorEastAsia"/>
          <w:sz w:val="28"/>
          <w:szCs w:val="28"/>
          <w:lang w:val="en-US" w:eastAsia="zh-CN"/>
        </w:rPr>
        <w:t>准备</w:t>
      </w:r>
      <w:r>
        <w:rPr>
          <w:rFonts w:hint="eastAsia" w:cs="仿宋" w:asciiTheme="minorEastAsia" w:hAnsiTheme="minorEastAsia"/>
          <w:sz w:val="28"/>
          <w:szCs w:val="28"/>
        </w:rPr>
        <w:t>材料。</w:t>
      </w:r>
    </w:p>
    <w:p w14:paraId="67DCAE63">
      <w:pPr>
        <w:pStyle w:val="21"/>
        <w:numPr>
          <w:ilvl w:val="0"/>
          <w:numId w:val="4"/>
        </w:numPr>
        <w:snapToGrid w:val="0"/>
        <w:spacing w:line="360" w:lineRule="auto"/>
        <w:ind w:left="1055" w:leftChars="0" w:hanging="425" w:firstLineChars="0"/>
        <w:jc w:val="both"/>
        <w:rPr>
          <w:rFonts w:cs="仿宋" w:asciiTheme="minorEastAsia" w:hAnsiTheme="minorEastAsia"/>
          <w:sz w:val="28"/>
          <w:szCs w:val="28"/>
        </w:rPr>
      </w:pPr>
      <w:r>
        <w:rPr>
          <w:rFonts w:hint="eastAsia" w:cs="仿宋" w:asciiTheme="minorEastAsia" w:hAnsiTheme="minorEastAsia"/>
          <w:sz w:val="28"/>
          <w:szCs w:val="28"/>
          <w:lang w:val="en-US" w:eastAsia="zh-CN"/>
        </w:rPr>
        <w:t>确定标准框架，</w:t>
      </w:r>
      <w:r>
        <w:rPr>
          <w:rFonts w:hint="eastAsia" w:cs="仿宋" w:asciiTheme="minorEastAsia" w:hAnsiTheme="minorEastAsia"/>
          <w:sz w:val="28"/>
          <w:szCs w:val="28"/>
        </w:rPr>
        <w:t>编制标准</w:t>
      </w:r>
      <w:r>
        <w:rPr>
          <w:rFonts w:hint="eastAsia" w:cs="仿宋" w:asciiTheme="minorEastAsia" w:hAnsiTheme="minorEastAsia"/>
          <w:sz w:val="28"/>
          <w:szCs w:val="28"/>
          <w:lang w:val="en-US" w:eastAsia="zh-CN"/>
        </w:rPr>
        <w:t>初稿</w:t>
      </w:r>
    </w:p>
    <w:p w14:paraId="49680C3C">
      <w:pPr>
        <w:pStyle w:val="21"/>
        <w:snapToGrid w:val="0"/>
        <w:spacing w:line="360" w:lineRule="auto"/>
        <w:ind w:firstLine="560" w:firstLineChars="200"/>
        <w:jc w:val="both"/>
        <w:rPr>
          <w:rFonts w:cs="仿宋" w:asciiTheme="minorEastAsia" w:hAnsiTheme="minorEastAsia"/>
          <w:sz w:val="28"/>
          <w:szCs w:val="28"/>
        </w:rPr>
      </w:pPr>
      <w:r>
        <w:rPr>
          <w:rFonts w:hint="eastAsia" w:cs="仿宋" w:asciiTheme="minorEastAsia" w:hAnsiTheme="minorEastAsia"/>
          <w:sz w:val="28"/>
          <w:szCs w:val="28"/>
        </w:rPr>
        <w:t>2024年11-12月，编写组确定了标准编制思路和框架，形成了标准</w:t>
      </w:r>
      <w:r>
        <w:rPr>
          <w:rFonts w:hint="eastAsia" w:cs="仿宋" w:asciiTheme="minorEastAsia" w:hAnsiTheme="minorEastAsia"/>
          <w:sz w:val="28"/>
          <w:szCs w:val="28"/>
          <w:lang w:val="en-US" w:eastAsia="zh-CN"/>
        </w:rPr>
        <w:t>初稿</w:t>
      </w:r>
      <w:r>
        <w:rPr>
          <w:rFonts w:hint="eastAsia" w:cs="仿宋" w:asciiTheme="minorEastAsia" w:hAnsiTheme="minorEastAsia"/>
          <w:sz w:val="28"/>
          <w:szCs w:val="28"/>
          <w:lang w:eastAsia="zh-CN"/>
        </w:rPr>
        <w:t>，</w:t>
      </w:r>
      <w:r>
        <w:rPr>
          <w:rFonts w:hint="eastAsia" w:cs="仿宋" w:asciiTheme="minorEastAsia" w:hAnsiTheme="minorEastAsia"/>
          <w:sz w:val="28"/>
          <w:szCs w:val="28"/>
          <w:lang w:val="en-US" w:eastAsia="zh-CN"/>
        </w:rPr>
        <w:t>并提交专家审查</w:t>
      </w:r>
      <w:r>
        <w:rPr>
          <w:rFonts w:hint="eastAsia" w:cs="仿宋" w:asciiTheme="minorEastAsia" w:hAnsiTheme="minorEastAsia"/>
          <w:sz w:val="28"/>
          <w:szCs w:val="28"/>
        </w:rPr>
        <w:t>。</w:t>
      </w:r>
    </w:p>
    <w:p w14:paraId="62B8C8E7">
      <w:pPr>
        <w:pStyle w:val="21"/>
        <w:numPr>
          <w:ilvl w:val="0"/>
          <w:numId w:val="4"/>
        </w:numPr>
        <w:snapToGrid w:val="0"/>
        <w:spacing w:line="360" w:lineRule="auto"/>
        <w:ind w:left="1055" w:leftChars="0" w:hanging="425" w:firstLineChars="0"/>
        <w:jc w:val="both"/>
        <w:rPr>
          <w:rFonts w:cs="仿宋" w:asciiTheme="minorEastAsia" w:hAnsiTheme="minorEastAsia"/>
          <w:sz w:val="28"/>
          <w:szCs w:val="28"/>
        </w:rPr>
      </w:pPr>
      <w:r>
        <w:rPr>
          <w:rFonts w:hint="eastAsia" w:cs="仿宋" w:asciiTheme="minorEastAsia" w:hAnsiTheme="minorEastAsia"/>
          <w:sz w:val="28"/>
          <w:szCs w:val="28"/>
          <w:lang w:val="en-US" w:eastAsia="zh-CN"/>
        </w:rPr>
        <w:t>完善标准</w:t>
      </w:r>
      <w:r>
        <w:rPr>
          <w:rFonts w:hint="eastAsia" w:cs="仿宋" w:asciiTheme="minorEastAsia" w:hAnsiTheme="minorEastAsia"/>
          <w:sz w:val="28"/>
          <w:szCs w:val="28"/>
        </w:rPr>
        <w:t>，</w:t>
      </w:r>
      <w:r>
        <w:rPr>
          <w:rFonts w:hint="eastAsia" w:cs="仿宋" w:asciiTheme="minorEastAsia" w:hAnsiTheme="minorEastAsia"/>
          <w:sz w:val="28"/>
          <w:szCs w:val="28"/>
          <w:lang w:val="en-US" w:eastAsia="zh-CN"/>
        </w:rPr>
        <w:t>形成报批稿</w:t>
      </w:r>
    </w:p>
    <w:p w14:paraId="4BEDE3B3">
      <w:pPr>
        <w:pStyle w:val="21"/>
        <w:snapToGrid w:val="0"/>
        <w:spacing w:line="360" w:lineRule="auto"/>
        <w:ind w:firstLine="560" w:firstLineChars="200"/>
        <w:jc w:val="both"/>
        <w:rPr>
          <w:rFonts w:cs="仿宋" w:asciiTheme="minorEastAsia" w:hAnsiTheme="minorEastAsia"/>
          <w:sz w:val="28"/>
          <w:szCs w:val="28"/>
        </w:rPr>
      </w:pPr>
      <w:r>
        <w:rPr>
          <w:rFonts w:hint="eastAsia" w:cs="仿宋" w:asciiTheme="minorEastAsia" w:hAnsiTheme="minorEastAsia"/>
          <w:sz w:val="28"/>
          <w:szCs w:val="28"/>
        </w:rPr>
        <w:t>2025年1-</w:t>
      </w:r>
      <w:r>
        <w:rPr>
          <w:rFonts w:hint="eastAsia" w:cs="仿宋" w:asciiTheme="minorEastAsia" w:hAnsiTheme="minorEastAsia"/>
          <w:sz w:val="28"/>
          <w:szCs w:val="28"/>
          <w:lang w:val="en-US" w:eastAsia="zh-CN"/>
        </w:rPr>
        <w:t>10</w:t>
      </w:r>
      <w:r>
        <w:rPr>
          <w:rFonts w:hint="eastAsia" w:cs="仿宋" w:asciiTheme="minorEastAsia" w:hAnsiTheme="minorEastAsia"/>
          <w:sz w:val="28"/>
          <w:szCs w:val="28"/>
        </w:rPr>
        <w:t>月，</w:t>
      </w:r>
      <w:r>
        <w:rPr>
          <w:rFonts w:hint="eastAsia" w:cs="仿宋" w:asciiTheme="minorEastAsia" w:hAnsiTheme="minorEastAsia"/>
          <w:sz w:val="28"/>
          <w:szCs w:val="28"/>
          <w:lang w:val="en-US" w:eastAsia="zh-CN"/>
        </w:rPr>
        <w:t>根据专家审查意见对标准进行修改完善，并经编制组反复讨论</w:t>
      </w:r>
      <w:r>
        <w:rPr>
          <w:rFonts w:hint="eastAsia" w:cs="仿宋" w:asciiTheme="minorEastAsia" w:hAnsiTheme="minorEastAsia"/>
          <w:sz w:val="28"/>
          <w:szCs w:val="28"/>
        </w:rPr>
        <w:t>，</w:t>
      </w:r>
      <w:r>
        <w:rPr>
          <w:rFonts w:hint="eastAsia" w:cs="仿宋" w:asciiTheme="minorEastAsia" w:hAnsiTheme="minorEastAsia"/>
          <w:sz w:val="28"/>
          <w:szCs w:val="28"/>
          <w:lang w:val="en-US" w:eastAsia="zh-CN"/>
        </w:rPr>
        <w:t>完成</w:t>
      </w:r>
      <w:r>
        <w:rPr>
          <w:rFonts w:hint="eastAsia" w:cs="仿宋" w:asciiTheme="minorEastAsia" w:hAnsiTheme="minorEastAsia"/>
          <w:sz w:val="28"/>
          <w:szCs w:val="28"/>
        </w:rPr>
        <w:t>《民用核安全设备制造单位核安全文化评估细则》。</w:t>
      </w:r>
    </w:p>
    <w:p w14:paraId="059B9412">
      <w:pPr>
        <w:pStyle w:val="25"/>
        <w:snapToGrid w:val="0"/>
        <w:spacing w:line="360" w:lineRule="auto"/>
        <w:ind w:left="0" w:leftChars="0" w:firstLine="0" w:firstLineChars="0"/>
        <w:outlineLvl w:val="0"/>
        <w:rPr>
          <w:rFonts w:hint="eastAsia" w:cs="仿宋" w:asciiTheme="minorEastAsia" w:hAnsiTheme="minorEastAsia" w:eastAsiaTheme="minorEastAsia"/>
          <w:b/>
          <w:bCs/>
          <w:sz w:val="28"/>
          <w:szCs w:val="28"/>
        </w:rPr>
      </w:pPr>
      <w:bookmarkStart w:id="6" w:name="_Toc22018"/>
      <w:r>
        <w:rPr>
          <w:rFonts w:hint="eastAsia" w:cs="仿宋" w:asciiTheme="minorEastAsia" w:hAnsiTheme="minorEastAsia" w:eastAsiaTheme="minorEastAsia"/>
          <w:b/>
          <w:bCs/>
          <w:sz w:val="28"/>
          <w:szCs w:val="28"/>
          <w:lang w:val="en-US" w:eastAsia="zh-CN"/>
        </w:rPr>
        <w:t>5、</w:t>
      </w:r>
      <w:r>
        <w:rPr>
          <w:rFonts w:hint="eastAsia" w:cs="仿宋" w:asciiTheme="minorEastAsia" w:hAnsiTheme="minorEastAsia" w:eastAsiaTheme="minorEastAsia"/>
          <w:b/>
          <w:bCs/>
          <w:sz w:val="28"/>
          <w:szCs w:val="28"/>
        </w:rPr>
        <w:t xml:space="preserve"> 标准主要内容说明</w:t>
      </w:r>
      <w:bookmarkEnd w:id="6"/>
    </w:p>
    <w:p w14:paraId="78AD5FD9">
      <w:pPr>
        <w:pStyle w:val="23"/>
        <w:spacing w:line="360" w:lineRule="auto"/>
        <w:jc w:val="both"/>
        <w:outlineLvl w:val="1"/>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5.1  适用范围</w:t>
      </w:r>
    </w:p>
    <w:p w14:paraId="0EDD3EEC">
      <w:pPr>
        <w:snapToGrid w:val="0"/>
        <w:spacing w:line="360" w:lineRule="auto"/>
        <w:ind w:firstLine="560" w:firstLineChars="200"/>
        <w:rPr>
          <w:rFonts w:cs="仿宋" w:asciiTheme="minorEastAsia" w:hAnsiTheme="minorEastAsia" w:eastAsiaTheme="minorEastAsia"/>
          <w:sz w:val="28"/>
          <w:szCs w:val="28"/>
        </w:rPr>
      </w:pPr>
      <w:bookmarkStart w:id="7" w:name="_Hlk203924502"/>
      <w:r>
        <w:rPr>
          <w:rFonts w:hint="eastAsia" w:cs="仿宋" w:asciiTheme="minorEastAsia" w:hAnsiTheme="minorEastAsia" w:eastAsiaTheme="minorEastAsia"/>
          <w:sz w:val="28"/>
          <w:szCs w:val="28"/>
        </w:rPr>
        <w:t>本标准适用于民用核安全设备单位的核安全文化评估，也可供相关单位组织开展核安全文化独立评估或自评估时参考。</w:t>
      </w:r>
    </w:p>
    <w:bookmarkEnd w:id="7"/>
    <w:p w14:paraId="7D0CB4C1">
      <w:pPr>
        <w:pStyle w:val="23"/>
        <w:spacing w:line="360" w:lineRule="auto"/>
        <w:jc w:val="both"/>
        <w:outlineLvl w:val="1"/>
        <w:rPr>
          <w:rFonts w:hint="eastAsia" w:cs="仿宋" w:asciiTheme="minorEastAsia" w:hAnsiTheme="minorEastAsia" w:eastAsiaTheme="minorEastAsia"/>
          <w:sz w:val="28"/>
          <w:szCs w:val="28"/>
        </w:rPr>
      </w:pPr>
      <w:r>
        <w:rPr>
          <w:rFonts w:hint="eastAsia" w:asciiTheme="minorEastAsia" w:hAnsiTheme="minorEastAsia" w:eastAsiaTheme="minorEastAsia" w:cstheme="minorEastAsia"/>
          <w:b/>
          <w:bCs/>
          <w:sz w:val="28"/>
          <w:szCs w:val="28"/>
        </w:rPr>
        <w:t>5.</w:t>
      </w:r>
      <w:r>
        <w:rPr>
          <w:rFonts w:hint="eastAsia" w:asciiTheme="minorEastAsia" w:hAnsiTheme="minorEastAsia" w:eastAsiaTheme="minorEastAsia" w:cstheme="minorEastAsia"/>
          <w:b/>
          <w:bCs/>
          <w:sz w:val="28"/>
          <w:szCs w:val="28"/>
          <w:lang w:val="en-US" w:eastAsia="zh-CN"/>
        </w:rPr>
        <w:t>2</w:t>
      </w:r>
      <w:r>
        <w:rPr>
          <w:rFonts w:hint="eastAsia" w:asciiTheme="minorEastAsia" w:hAnsiTheme="minorEastAsia" w:eastAsiaTheme="minorEastAsia" w:cstheme="minorEastAsia"/>
          <w:b/>
          <w:bCs/>
          <w:sz w:val="28"/>
          <w:szCs w:val="28"/>
        </w:rPr>
        <w:t xml:space="preserve">  术语和定义</w:t>
      </w:r>
    </w:p>
    <w:p w14:paraId="634918A1">
      <w:pPr>
        <w:pStyle w:val="21"/>
      </w:pPr>
    </w:p>
    <w:tbl>
      <w:tblPr>
        <w:tblStyle w:val="17"/>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1"/>
        <w:gridCol w:w="1867"/>
        <w:gridCol w:w="3059"/>
        <w:gridCol w:w="2083"/>
      </w:tblGrid>
      <w:tr w14:paraId="4FAD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57C5AFC8">
            <w:pPr>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术语</w:t>
            </w:r>
          </w:p>
        </w:tc>
        <w:tc>
          <w:tcPr>
            <w:tcW w:w="1868" w:type="dxa"/>
            <w:vAlign w:val="center"/>
          </w:tcPr>
          <w:p w14:paraId="56F46260">
            <w:pPr>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英文名称</w:t>
            </w:r>
          </w:p>
        </w:tc>
        <w:tc>
          <w:tcPr>
            <w:tcW w:w="3092" w:type="dxa"/>
            <w:vAlign w:val="center"/>
          </w:tcPr>
          <w:p w14:paraId="43EFF668">
            <w:pPr>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定义</w:t>
            </w:r>
          </w:p>
        </w:tc>
        <w:tc>
          <w:tcPr>
            <w:tcW w:w="2035" w:type="dxa"/>
            <w:vAlign w:val="center"/>
          </w:tcPr>
          <w:p w14:paraId="05E90858">
            <w:pPr>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编写依据</w:t>
            </w:r>
          </w:p>
        </w:tc>
      </w:tr>
      <w:tr w14:paraId="786C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32DDC10F">
            <w:pPr>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核安全</w:t>
            </w:r>
          </w:p>
        </w:tc>
        <w:tc>
          <w:tcPr>
            <w:tcW w:w="1868" w:type="dxa"/>
            <w:vAlign w:val="center"/>
          </w:tcPr>
          <w:p w14:paraId="44FAF199">
            <w:pPr>
              <w:snapToGrid w:val="0"/>
              <w:jc w:val="center"/>
              <w:rPr>
                <w:rFonts w:hint="default" w:ascii="Times New Roman" w:hAnsi="Times New Roman" w:cs="Times New Roman" w:eastAsiaTheme="minorEastAsia"/>
                <w:b w:val="0"/>
                <w:bCs w:val="0"/>
                <w:snapToGrid w:val="0"/>
                <w:color w:val="000000"/>
                <w:sz w:val="24"/>
              </w:rPr>
            </w:pPr>
            <w:r>
              <w:rPr>
                <w:rFonts w:hint="default" w:ascii="Times New Roman" w:hAnsi="Times New Roman" w:cs="Times New Roman" w:eastAsiaTheme="minorEastAsia"/>
                <w:b w:val="0"/>
                <w:bCs w:val="0"/>
                <w:snapToGrid w:val="0"/>
                <w:color w:val="000000"/>
                <w:sz w:val="24"/>
              </w:rPr>
              <w:t>nuclear safety</w:t>
            </w:r>
          </w:p>
        </w:tc>
        <w:tc>
          <w:tcPr>
            <w:tcW w:w="3092" w:type="dxa"/>
            <w:vAlign w:val="center"/>
          </w:tcPr>
          <w:p w14:paraId="5FCFEE0C">
            <w:pPr>
              <w:spacing w:line="440" w:lineRule="exact"/>
              <w:rPr>
                <w:rFonts w:hint="eastAsia" w:asciiTheme="minorEastAsia" w:hAnsiTheme="minorEastAsia" w:eastAsiaTheme="minorEastAsia" w:cstheme="minorEastAsia"/>
                <w:snapToGrid w:val="0"/>
                <w:color w:val="000000"/>
                <w:sz w:val="24"/>
              </w:rPr>
            </w:pPr>
            <w:r>
              <w:rPr>
                <w:rFonts w:hint="eastAsia" w:asciiTheme="minorEastAsia" w:hAnsiTheme="minorEastAsia" w:eastAsiaTheme="minorEastAsia" w:cstheme="minorEastAsia"/>
                <w:snapToGrid w:val="0"/>
                <w:color w:val="000000"/>
                <w:sz w:val="24"/>
              </w:rPr>
              <w:t>对核设施、核材料及相关放射性废物采取充分的预防、保护、缓解和监管等安全措施，防止由于技术原因、人为原因或者自然灾害造成核事故，最大限度减轻核事故情况下的放射性后果，保护工作人员、公众和环境免受不当的辐射危害。</w:t>
            </w:r>
          </w:p>
        </w:tc>
        <w:tc>
          <w:tcPr>
            <w:tcW w:w="2035" w:type="dxa"/>
            <w:vAlign w:val="center"/>
          </w:tcPr>
          <w:p w14:paraId="5B424A05">
            <w:pPr>
              <w:snapToGrid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参考《中华人民共和国核安全法》</w:t>
            </w:r>
          </w:p>
        </w:tc>
      </w:tr>
      <w:tr w14:paraId="16F9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482B0C64">
            <w:pPr>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核安全文化</w:t>
            </w:r>
          </w:p>
        </w:tc>
        <w:tc>
          <w:tcPr>
            <w:tcW w:w="1868" w:type="dxa"/>
            <w:vAlign w:val="center"/>
          </w:tcPr>
          <w:p w14:paraId="77B917D4">
            <w:pPr>
              <w:snapToGrid w:val="0"/>
              <w:jc w:val="center"/>
              <w:rPr>
                <w:rFonts w:hint="default" w:ascii="Times New Roman" w:hAnsi="Times New Roman" w:cs="Times New Roman" w:eastAsiaTheme="minorEastAsia"/>
                <w:b w:val="0"/>
                <w:bCs w:val="0"/>
                <w:sz w:val="24"/>
              </w:rPr>
            </w:pPr>
            <w:r>
              <w:rPr>
                <w:rFonts w:hint="default" w:ascii="Times New Roman" w:hAnsi="Times New Roman" w:cs="Times New Roman" w:eastAsiaTheme="minorEastAsia"/>
                <w:b w:val="0"/>
                <w:bCs w:val="0"/>
                <w:color w:val="000000"/>
                <w:kern w:val="0"/>
                <w:sz w:val="24"/>
              </w:rPr>
              <w:t>nuclear safety culture</w:t>
            </w:r>
          </w:p>
        </w:tc>
        <w:tc>
          <w:tcPr>
            <w:tcW w:w="3092" w:type="dxa"/>
            <w:vAlign w:val="center"/>
          </w:tcPr>
          <w:p w14:paraId="575B4611">
            <w:pPr>
              <w:adjustRightInd w:val="0"/>
              <w:snapToGrid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napToGrid w:val="0"/>
                <w:color w:val="000000"/>
                <w:sz w:val="24"/>
              </w:rPr>
              <w:t>各有关组织和个人以“安全第一”为根本方针，以维护公众健康和环境安全为最终目标，达成共识并付诸实践的价值观、行为准则和特性的总和。</w:t>
            </w:r>
          </w:p>
        </w:tc>
        <w:tc>
          <w:tcPr>
            <w:tcW w:w="2035" w:type="dxa"/>
            <w:vAlign w:val="center"/>
          </w:tcPr>
          <w:p w14:paraId="4688DB18">
            <w:pPr>
              <w:snapToGrid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引用《核安全文化政策声明》</w:t>
            </w:r>
          </w:p>
        </w:tc>
      </w:tr>
      <w:tr w14:paraId="57978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62806AED">
            <w:pPr>
              <w:snapToGrid w:val="0"/>
              <w:jc w:val="center"/>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组织</w:t>
            </w:r>
          </w:p>
        </w:tc>
        <w:tc>
          <w:tcPr>
            <w:tcW w:w="1868" w:type="dxa"/>
            <w:vAlign w:val="center"/>
          </w:tcPr>
          <w:p w14:paraId="73B88245">
            <w:pPr>
              <w:snapToGrid w:val="0"/>
              <w:jc w:val="center"/>
              <w:rPr>
                <w:rFonts w:hint="default" w:ascii="Times New Roman" w:hAnsi="Times New Roman" w:cs="Times New Roman" w:eastAsiaTheme="minorEastAsia"/>
                <w:b w:val="0"/>
                <w:bCs w:val="0"/>
                <w:kern w:val="0"/>
                <w:highlight w:val="none"/>
              </w:rPr>
            </w:pPr>
            <w:r>
              <w:rPr>
                <w:rFonts w:hint="default" w:eastAsiaTheme="minorEastAsia"/>
                <w:kern w:val="0"/>
                <w:highlight w:val="none"/>
              </w:rPr>
              <w:t>organization</w:t>
            </w:r>
          </w:p>
        </w:tc>
        <w:tc>
          <w:tcPr>
            <w:tcW w:w="3092" w:type="dxa"/>
            <w:vAlign w:val="center"/>
          </w:tcPr>
          <w:p w14:paraId="06F0C57C">
            <w:pPr>
              <w:adjustRightInd w:val="0"/>
              <w:snapToGrid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为实现共同目标，通过分工、协作、规则和层级结构形成的集体或团体。</w:t>
            </w:r>
          </w:p>
        </w:tc>
        <w:tc>
          <w:tcPr>
            <w:tcW w:w="2035" w:type="dxa"/>
            <w:vMerge w:val="restart"/>
            <w:vAlign w:val="center"/>
          </w:tcPr>
          <w:p w14:paraId="0D9C888D">
            <w:pPr>
              <w:snapToGrid w:val="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rPr>
              <w:t>参考NRC文件</w:t>
            </w:r>
            <w:r>
              <w:rPr>
                <w:rFonts w:hint="default" w:ascii="Times New Roman" w:hAnsi="Times New Roman" w:cs="Times New Roman" w:eastAsiaTheme="minorEastAsia"/>
                <w:sz w:val="24"/>
              </w:rPr>
              <w:t>《Safety Culture Common Language》（NUREG-2165）</w:t>
            </w:r>
          </w:p>
        </w:tc>
      </w:tr>
      <w:tr w14:paraId="496C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50CD8993">
            <w:pPr>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决策层</w:t>
            </w:r>
          </w:p>
        </w:tc>
        <w:tc>
          <w:tcPr>
            <w:tcW w:w="1868" w:type="dxa"/>
            <w:vAlign w:val="center"/>
          </w:tcPr>
          <w:p w14:paraId="5B7ED61E">
            <w:pPr>
              <w:snapToGrid w:val="0"/>
              <w:jc w:val="center"/>
              <w:rPr>
                <w:rFonts w:hint="default" w:ascii="Times New Roman" w:hAnsi="Times New Roman" w:cs="Times New Roman" w:eastAsiaTheme="minorEastAsia"/>
                <w:b w:val="0"/>
                <w:bCs w:val="0"/>
                <w:sz w:val="24"/>
              </w:rPr>
            </w:pPr>
            <w:r>
              <w:rPr>
                <w:rFonts w:hint="default" w:ascii="Times New Roman" w:hAnsi="Times New Roman" w:cs="Times New Roman" w:eastAsiaTheme="minorEastAsia"/>
                <w:b w:val="0"/>
                <w:bCs w:val="0"/>
                <w:sz w:val="24"/>
              </w:rPr>
              <w:t>decision-making level</w:t>
            </w:r>
          </w:p>
        </w:tc>
        <w:tc>
          <w:tcPr>
            <w:tcW w:w="3092" w:type="dxa"/>
            <w:vAlign w:val="center"/>
          </w:tcPr>
          <w:p w14:paraId="594D1617">
            <w:pPr>
              <w:adjustRightInd w:val="0"/>
              <w:snapToGrid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一个组织中的领导集体，由若干成员组成，负责制定战略决策，指导整体工作方向，并监督执行。</w:t>
            </w:r>
          </w:p>
        </w:tc>
        <w:tc>
          <w:tcPr>
            <w:tcW w:w="2035" w:type="dxa"/>
            <w:vMerge w:val="continue"/>
            <w:vAlign w:val="center"/>
          </w:tcPr>
          <w:p w14:paraId="364E6845">
            <w:pPr>
              <w:snapToGrid w:val="0"/>
              <w:rPr>
                <w:rFonts w:hint="eastAsia" w:asciiTheme="minorEastAsia" w:hAnsiTheme="minorEastAsia" w:eastAsiaTheme="minorEastAsia" w:cstheme="minorEastAsia"/>
                <w:sz w:val="24"/>
              </w:rPr>
            </w:pPr>
          </w:p>
        </w:tc>
      </w:tr>
      <w:tr w14:paraId="3BEF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1CBEF48D">
            <w:pPr>
              <w:snapToGrid w:val="0"/>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管理层</w:t>
            </w:r>
          </w:p>
        </w:tc>
        <w:tc>
          <w:tcPr>
            <w:tcW w:w="1868" w:type="dxa"/>
            <w:vAlign w:val="center"/>
          </w:tcPr>
          <w:p w14:paraId="1969DD9B">
            <w:pPr>
              <w:snapToGrid w:val="0"/>
              <w:jc w:val="center"/>
              <w:rPr>
                <w:rFonts w:hint="default" w:ascii="Times New Roman" w:hAnsi="Times New Roman" w:cs="Times New Roman" w:eastAsiaTheme="minorEastAsia"/>
                <w:b w:val="0"/>
                <w:bCs w:val="0"/>
                <w:sz w:val="24"/>
              </w:rPr>
            </w:pPr>
            <w:r>
              <w:rPr>
                <w:rFonts w:hint="default" w:ascii="Times New Roman" w:hAnsi="Times New Roman" w:cs="Times New Roman" w:eastAsiaTheme="minorEastAsia"/>
                <w:b w:val="0"/>
                <w:bCs w:val="0"/>
                <w:color w:val="000000"/>
                <w:kern w:val="0"/>
                <w:sz w:val="24"/>
              </w:rPr>
              <w:t>management level</w:t>
            </w:r>
          </w:p>
        </w:tc>
        <w:tc>
          <w:tcPr>
            <w:tcW w:w="3092" w:type="dxa"/>
            <w:vAlign w:val="center"/>
          </w:tcPr>
          <w:p w14:paraId="00A8B3B6">
            <w:pPr>
              <w:widowControl/>
              <w:adjustRightInd w:val="0"/>
              <w:snapToGrid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组织中的中间层级，主要包括组织内各部门主要负责人、各级行政主管以及其他会对组织内人员产生影响的人，负责将战略目标转化为具体计划，协调资源和监督执行，以确保目标实现。</w:t>
            </w:r>
          </w:p>
        </w:tc>
        <w:tc>
          <w:tcPr>
            <w:tcW w:w="2035" w:type="dxa"/>
            <w:vMerge w:val="continue"/>
            <w:vAlign w:val="center"/>
          </w:tcPr>
          <w:p w14:paraId="00BB3EE6">
            <w:pPr>
              <w:snapToGrid w:val="0"/>
              <w:rPr>
                <w:rFonts w:hint="eastAsia" w:asciiTheme="minorEastAsia" w:hAnsiTheme="minorEastAsia" w:eastAsiaTheme="minorEastAsia" w:cstheme="minorEastAsia"/>
                <w:sz w:val="24"/>
              </w:rPr>
            </w:pPr>
          </w:p>
        </w:tc>
      </w:tr>
      <w:tr w14:paraId="07DC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114B0992">
            <w:pPr>
              <w:snapToGrid w:val="0"/>
              <w:jc w:val="center"/>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员工</w:t>
            </w:r>
          </w:p>
        </w:tc>
        <w:tc>
          <w:tcPr>
            <w:tcW w:w="1868" w:type="dxa"/>
            <w:vAlign w:val="center"/>
          </w:tcPr>
          <w:p w14:paraId="5FFBA762">
            <w:pPr>
              <w:snapToGrid w:val="0"/>
              <w:jc w:val="center"/>
              <w:rPr>
                <w:rFonts w:hint="default" w:ascii="Times New Roman" w:hAnsi="Times New Roman" w:cs="Times New Roman" w:eastAsiaTheme="minorEastAsia"/>
                <w:b w:val="0"/>
                <w:bCs w:val="0"/>
                <w:sz w:val="24"/>
              </w:rPr>
            </w:pPr>
            <w:r>
              <w:rPr>
                <w:rFonts w:hint="eastAsia" w:ascii="黑体" w:eastAsia="黑体"/>
                <w:color w:val="000000"/>
                <w:kern w:val="0"/>
                <w:szCs w:val="21"/>
              </w:rPr>
              <w:t xml:space="preserve"> </w:t>
            </w:r>
            <w:r>
              <w:rPr>
                <w:rFonts w:hint="default" w:ascii="Times New Roman" w:eastAsiaTheme="minorEastAsia"/>
                <w:color w:val="000000"/>
                <w:kern w:val="0"/>
                <w:sz w:val="24"/>
                <w:szCs w:val="24"/>
              </w:rPr>
              <w:t>individuals</w:t>
            </w:r>
          </w:p>
        </w:tc>
        <w:tc>
          <w:tcPr>
            <w:tcW w:w="3092" w:type="dxa"/>
            <w:vAlign w:val="center"/>
          </w:tcPr>
          <w:p w14:paraId="5C73E1FB">
            <w:pPr>
              <w:widowControl/>
              <w:adjustRightInd w:val="0"/>
              <w:snapToGrid w:val="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组织中所有层级的工作人员，包括各级领导，也包括承包商及供应商人员。</w:t>
            </w:r>
          </w:p>
        </w:tc>
        <w:tc>
          <w:tcPr>
            <w:tcW w:w="2035" w:type="dxa"/>
            <w:vMerge w:val="continue"/>
            <w:vAlign w:val="center"/>
          </w:tcPr>
          <w:p w14:paraId="0E25A9EB">
            <w:pPr>
              <w:snapToGrid w:val="0"/>
              <w:rPr>
                <w:rFonts w:hint="eastAsia" w:asciiTheme="minorEastAsia" w:hAnsiTheme="minorEastAsia" w:eastAsiaTheme="minorEastAsia" w:cstheme="minorEastAsia"/>
                <w:sz w:val="24"/>
              </w:rPr>
            </w:pPr>
          </w:p>
        </w:tc>
      </w:tr>
    </w:tbl>
    <w:p w14:paraId="79111290">
      <w:pPr>
        <w:rPr>
          <w:rFonts w:hint="eastAsia" w:asciiTheme="minorEastAsia" w:hAnsiTheme="minorEastAsia" w:eastAsiaTheme="minorEastAsia" w:cstheme="minorEastAsia"/>
        </w:rPr>
      </w:pPr>
    </w:p>
    <w:p w14:paraId="5E2827F0">
      <w:pPr>
        <w:pStyle w:val="23"/>
        <w:spacing w:line="360" w:lineRule="auto"/>
        <w:jc w:val="both"/>
        <w:outlineLvl w:val="1"/>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5.</w:t>
      </w:r>
      <w:r>
        <w:rPr>
          <w:rFonts w:hint="eastAsia" w:asciiTheme="minorEastAsia" w:hAnsiTheme="minorEastAsia" w:eastAsiaTheme="minorEastAsia" w:cstheme="minorEastAsia"/>
          <w:b/>
          <w:bCs/>
          <w:sz w:val="28"/>
          <w:szCs w:val="28"/>
          <w:lang w:val="en-US" w:eastAsia="zh-CN"/>
        </w:rPr>
        <w:t>3</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28"/>
          <w:szCs w:val="28"/>
          <w:lang w:val="en-US" w:eastAsia="zh-CN"/>
        </w:rPr>
        <w:t xml:space="preserve"> 评估内容</w:t>
      </w:r>
    </w:p>
    <w:p w14:paraId="52D9ED44">
      <w:pPr>
        <w:snapToGrid w:val="0"/>
        <w:spacing w:line="360" w:lineRule="auto"/>
        <w:ind w:firstLine="560" w:firstLineChars="20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rPr>
        <w:t>本标准以《核安全文化评估实施指南》为</w:t>
      </w:r>
      <w:r>
        <w:rPr>
          <w:rFonts w:hint="eastAsia" w:cs="仿宋" w:asciiTheme="minorEastAsia" w:hAnsiTheme="minorEastAsia" w:eastAsiaTheme="minorEastAsia"/>
          <w:sz w:val="28"/>
          <w:szCs w:val="28"/>
          <w:lang w:val="en-US" w:eastAsia="zh-CN"/>
        </w:rPr>
        <w:t>基础</w:t>
      </w:r>
      <w:r>
        <w:rPr>
          <w:rFonts w:hint="eastAsia" w:cs="仿宋" w:asciiTheme="minorEastAsia" w:hAnsiTheme="minorEastAsia" w:eastAsiaTheme="minorEastAsia"/>
          <w:sz w:val="28"/>
          <w:szCs w:val="28"/>
        </w:rPr>
        <w:t>，融合核安全设备制造领域特点，对部分评估要素进行了</w:t>
      </w:r>
      <w:r>
        <w:rPr>
          <w:rFonts w:hint="eastAsia" w:cs="仿宋" w:asciiTheme="minorEastAsia" w:hAnsiTheme="minorEastAsia" w:eastAsiaTheme="minorEastAsia"/>
          <w:sz w:val="28"/>
          <w:szCs w:val="28"/>
          <w:lang w:val="en-US" w:eastAsia="zh-CN"/>
        </w:rPr>
        <w:t>细化和</w:t>
      </w:r>
      <w:r>
        <w:rPr>
          <w:rFonts w:hint="eastAsia" w:cs="仿宋" w:asciiTheme="minorEastAsia" w:hAnsiTheme="minorEastAsia" w:eastAsiaTheme="minorEastAsia"/>
          <w:sz w:val="28"/>
          <w:szCs w:val="28"/>
        </w:rPr>
        <w:t>调整，</w:t>
      </w:r>
      <w:r>
        <w:rPr>
          <w:rFonts w:hint="eastAsia" w:cs="仿宋" w:asciiTheme="minorEastAsia" w:hAnsiTheme="minorEastAsia" w:eastAsiaTheme="minorEastAsia"/>
          <w:sz w:val="28"/>
          <w:szCs w:val="28"/>
          <w:lang w:val="en-US" w:eastAsia="zh-CN"/>
        </w:rPr>
        <w:t>并</w:t>
      </w:r>
      <w:r>
        <w:rPr>
          <w:rFonts w:hint="eastAsia" w:cs="仿宋" w:asciiTheme="minorEastAsia" w:hAnsiTheme="minorEastAsia" w:eastAsiaTheme="minorEastAsia"/>
          <w:sz w:val="28"/>
          <w:szCs w:val="28"/>
        </w:rPr>
        <w:t>删除了特征“创建和谐的公共关系”中“公众诉求、公众沟通成果”两个要素，最终从8大核安全文化特征、40个评估要素维度实现核安全文化水平的总体评价</w:t>
      </w:r>
      <w:r>
        <w:rPr>
          <w:rFonts w:hint="eastAsia" w:cs="仿宋" w:asciiTheme="minorEastAsia" w:hAnsiTheme="minorEastAsia" w:eastAsiaTheme="minorEastAsia"/>
          <w:sz w:val="28"/>
          <w:szCs w:val="28"/>
          <w:lang w:eastAsia="zh-CN"/>
        </w:rPr>
        <w:t>（</w:t>
      </w:r>
      <w:r>
        <w:rPr>
          <w:rFonts w:hint="eastAsia" w:cs="仿宋" w:asciiTheme="minorEastAsia" w:hAnsiTheme="minorEastAsia" w:eastAsiaTheme="minorEastAsia"/>
          <w:sz w:val="28"/>
          <w:szCs w:val="28"/>
          <w:lang w:val="en-US" w:eastAsia="zh-CN"/>
        </w:rPr>
        <w:t>表1</w:t>
      </w:r>
      <w:r>
        <w:rPr>
          <w:rFonts w:hint="eastAsia" w:cs="仿宋" w:asciiTheme="minorEastAsia" w:hAnsiTheme="minorEastAsia" w:eastAsiaTheme="minorEastAsia"/>
          <w:sz w:val="28"/>
          <w:szCs w:val="28"/>
          <w:lang w:eastAsia="zh-CN"/>
        </w:rPr>
        <w:t>），</w:t>
      </w:r>
      <w:r>
        <w:rPr>
          <w:rFonts w:hint="eastAsia" w:cs="仿宋" w:asciiTheme="minorEastAsia" w:hAnsiTheme="minorEastAsia" w:eastAsiaTheme="minorEastAsia"/>
          <w:sz w:val="28"/>
          <w:szCs w:val="28"/>
          <w:lang w:val="en-US" w:eastAsia="zh-CN"/>
        </w:rPr>
        <w:t>标准具体</w:t>
      </w:r>
      <w:r>
        <w:rPr>
          <w:rFonts w:hint="eastAsia" w:cs="仿宋" w:asciiTheme="minorEastAsia" w:hAnsiTheme="minorEastAsia" w:eastAsiaTheme="minorEastAsia"/>
          <w:sz w:val="28"/>
          <w:szCs w:val="28"/>
        </w:rPr>
        <w:t>列出了各评估要素的具体评估标准</w:t>
      </w:r>
      <w:r>
        <w:rPr>
          <w:rFonts w:hint="eastAsia" w:cs="仿宋" w:asciiTheme="minorEastAsia" w:hAnsiTheme="minorEastAsia" w:eastAsiaTheme="minorEastAsia"/>
          <w:sz w:val="28"/>
          <w:szCs w:val="28"/>
          <w:lang w:val="en-US" w:eastAsia="zh-CN"/>
        </w:rPr>
        <w:t>、评估方式和良好实践举例。</w:t>
      </w:r>
    </w:p>
    <w:p w14:paraId="511B221D">
      <w:pPr>
        <w:pageBreakBefore w:val="0"/>
        <w:widowControl/>
        <w:kinsoku/>
        <w:overflowPunct/>
        <w:topLinePunct w:val="0"/>
        <w:bidi w:val="0"/>
        <w:spacing w:line="440" w:lineRule="exact"/>
        <w:jc w:val="center"/>
        <w:rPr>
          <w:rFonts w:hint="default"/>
          <w:highlight w:val="none"/>
          <w:lang w:val="en-US" w:eastAsia="zh-CN"/>
        </w:rPr>
      </w:pPr>
      <w:r>
        <w:rPr>
          <w:rFonts w:hint="eastAsia"/>
          <w:b/>
          <w:bCs/>
          <w:highlight w:val="none"/>
          <w:lang w:val="en-US" w:eastAsia="zh-CN"/>
        </w:rPr>
        <w:t>表1 核安全文化特征和对应的评估要素</w:t>
      </w:r>
    </w:p>
    <w:tbl>
      <w:tblPr>
        <w:tblStyle w:val="16"/>
        <w:tblW w:w="8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5"/>
        <w:gridCol w:w="1641"/>
        <w:gridCol w:w="1809"/>
        <w:gridCol w:w="2617"/>
      </w:tblGrid>
      <w:tr w14:paraId="74DA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blHeader/>
          <w:jc w:val="center"/>
        </w:trPr>
        <w:tc>
          <w:tcPr>
            <w:tcW w:w="2195" w:type="dxa"/>
            <w:shd w:val="clear" w:color="auto" w:fill="DEEAF6" w:themeFill="accent1" w:themeFillTint="33"/>
            <w:vAlign w:val="center"/>
          </w:tcPr>
          <w:p w14:paraId="7C867408">
            <w:pPr>
              <w:pageBreakBefore w:val="0"/>
              <w:kinsoku/>
              <w:overflowPunct/>
              <w:topLinePunct w:val="0"/>
              <w:bidi w:val="0"/>
              <w:adjustRightInd w:val="0"/>
              <w:snapToGrid w:val="0"/>
              <w:spacing w:line="280" w:lineRule="exact"/>
              <w:jc w:val="center"/>
              <w:rPr>
                <w:rFonts w:hint="eastAsia" w:asciiTheme="minorEastAsia" w:hAnsiTheme="minorEastAsia" w:eastAsiaTheme="minorEastAsia" w:cstheme="minorEastAsia"/>
                <w:b/>
                <w:sz w:val="20"/>
                <w:szCs w:val="20"/>
                <w:highlight w:val="none"/>
              </w:rPr>
            </w:pPr>
            <w:r>
              <w:rPr>
                <w:rFonts w:hint="eastAsia" w:hAnsiTheme="minorEastAsia" w:cstheme="minorEastAsia"/>
                <w:b/>
                <w:sz w:val="20"/>
                <w:szCs w:val="20"/>
                <w:highlight w:val="none"/>
                <w:lang w:val="en-US" w:eastAsia="zh-CN"/>
              </w:rPr>
              <w:t>核</w:t>
            </w:r>
            <w:r>
              <w:rPr>
                <w:rFonts w:hint="eastAsia" w:asciiTheme="minorEastAsia" w:hAnsiTheme="minorEastAsia" w:eastAsiaTheme="minorEastAsia" w:cstheme="minorEastAsia"/>
                <w:b/>
                <w:sz w:val="20"/>
                <w:szCs w:val="20"/>
                <w:highlight w:val="none"/>
              </w:rPr>
              <w:t>安全文化特征</w:t>
            </w:r>
          </w:p>
        </w:tc>
        <w:tc>
          <w:tcPr>
            <w:tcW w:w="1641" w:type="dxa"/>
            <w:shd w:val="clear" w:color="auto" w:fill="DEEAF6" w:themeFill="accent1" w:themeFillTint="33"/>
            <w:vAlign w:val="center"/>
          </w:tcPr>
          <w:p w14:paraId="67044FAD">
            <w:pPr>
              <w:pageBreakBefore w:val="0"/>
              <w:kinsoku/>
              <w:overflowPunct/>
              <w:topLinePunct w:val="0"/>
              <w:bidi w:val="0"/>
              <w:adjustRightInd w:val="0"/>
              <w:snapToGrid w:val="0"/>
              <w:spacing w:line="280" w:lineRule="exact"/>
              <w:jc w:val="center"/>
              <w:rPr>
                <w:rFonts w:hint="eastAsia" w:asciiTheme="minorEastAsia" w:hAnsiTheme="minorEastAsia" w:eastAsiaTheme="minorEastAsia" w:cstheme="minorEastAsia"/>
                <w:b/>
                <w:sz w:val="20"/>
                <w:szCs w:val="20"/>
                <w:highlight w:val="none"/>
              </w:rPr>
            </w:pPr>
            <w:r>
              <w:rPr>
                <w:rFonts w:hint="eastAsia" w:asciiTheme="minorEastAsia" w:hAnsiTheme="minorEastAsia" w:eastAsiaTheme="minorEastAsia" w:cstheme="minorEastAsia"/>
                <w:b/>
                <w:sz w:val="20"/>
                <w:szCs w:val="20"/>
                <w:highlight w:val="none"/>
              </w:rPr>
              <w:t>评估要素</w:t>
            </w:r>
          </w:p>
        </w:tc>
        <w:tc>
          <w:tcPr>
            <w:tcW w:w="1809" w:type="dxa"/>
            <w:shd w:val="clear" w:color="auto" w:fill="DEEAF6" w:themeFill="accent1" w:themeFillTint="33"/>
            <w:vAlign w:val="center"/>
          </w:tcPr>
          <w:p w14:paraId="61ED75DC">
            <w:pPr>
              <w:pageBreakBefore w:val="0"/>
              <w:kinsoku/>
              <w:overflowPunct/>
              <w:topLinePunct w:val="0"/>
              <w:bidi w:val="0"/>
              <w:adjustRightInd w:val="0"/>
              <w:snapToGrid w:val="0"/>
              <w:spacing w:line="280" w:lineRule="exact"/>
              <w:jc w:val="center"/>
              <w:rPr>
                <w:rFonts w:hint="eastAsia" w:asciiTheme="minorEastAsia" w:hAnsiTheme="minorEastAsia" w:eastAsiaTheme="minorEastAsia" w:cstheme="minorEastAsia"/>
                <w:b/>
                <w:sz w:val="20"/>
                <w:szCs w:val="20"/>
                <w:highlight w:val="none"/>
              </w:rPr>
            </w:pPr>
            <w:r>
              <w:rPr>
                <w:rFonts w:hint="eastAsia" w:hAnsiTheme="minorEastAsia" w:cstheme="minorEastAsia"/>
                <w:b/>
                <w:sz w:val="20"/>
                <w:szCs w:val="20"/>
                <w:highlight w:val="none"/>
                <w:lang w:val="en-US" w:eastAsia="zh-CN"/>
              </w:rPr>
              <w:t>核</w:t>
            </w:r>
            <w:r>
              <w:rPr>
                <w:rFonts w:hint="eastAsia" w:asciiTheme="minorEastAsia" w:hAnsiTheme="minorEastAsia" w:eastAsiaTheme="minorEastAsia" w:cstheme="minorEastAsia"/>
                <w:b/>
                <w:sz w:val="20"/>
                <w:szCs w:val="20"/>
                <w:highlight w:val="none"/>
              </w:rPr>
              <w:t>安全文化特征</w:t>
            </w:r>
          </w:p>
        </w:tc>
        <w:tc>
          <w:tcPr>
            <w:tcW w:w="2617" w:type="dxa"/>
            <w:shd w:val="clear" w:color="auto" w:fill="DEEAF6" w:themeFill="accent1" w:themeFillTint="33"/>
            <w:vAlign w:val="center"/>
          </w:tcPr>
          <w:p w14:paraId="70C84F9D">
            <w:pPr>
              <w:pageBreakBefore w:val="0"/>
              <w:kinsoku/>
              <w:overflowPunct/>
              <w:topLinePunct w:val="0"/>
              <w:bidi w:val="0"/>
              <w:adjustRightInd w:val="0"/>
              <w:snapToGrid w:val="0"/>
              <w:spacing w:line="280" w:lineRule="exact"/>
              <w:jc w:val="center"/>
              <w:rPr>
                <w:rFonts w:hint="eastAsia" w:asciiTheme="minorEastAsia" w:hAnsiTheme="minorEastAsia" w:eastAsiaTheme="minorEastAsia" w:cstheme="minorEastAsia"/>
                <w:b/>
                <w:sz w:val="20"/>
                <w:szCs w:val="20"/>
                <w:highlight w:val="none"/>
              </w:rPr>
            </w:pPr>
            <w:r>
              <w:rPr>
                <w:rFonts w:hint="eastAsia" w:asciiTheme="minorEastAsia" w:hAnsiTheme="minorEastAsia" w:eastAsiaTheme="minorEastAsia" w:cstheme="minorEastAsia"/>
                <w:b/>
                <w:sz w:val="20"/>
                <w:szCs w:val="20"/>
                <w:highlight w:val="none"/>
              </w:rPr>
              <w:t>评估要素</w:t>
            </w:r>
          </w:p>
        </w:tc>
      </w:tr>
      <w:tr w14:paraId="2C17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195" w:type="dxa"/>
            <w:vMerge w:val="restart"/>
            <w:shd w:val="clear" w:color="auto" w:fill="E7E6E6" w:themeFill="background2"/>
            <w:vAlign w:val="center"/>
          </w:tcPr>
          <w:p w14:paraId="66A377C4">
            <w:pPr>
              <w:pageBreakBefore w:val="0"/>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决策层的安全观和承诺（A）</w:t>
            </w:r>
          </w:p>
        </w:tc>
        <w:tc>
          <w:tcPr>
            <w:tcW w:w="1641" w:type="dxa"/>
            <w:shd w:val="clear" w:color="auto" w:fill="E7E6E6" w:themeFill="background2"/>
            <w:vAlign w:val="center"/>
          </w:tcPr>
          <w:p w14:paraId="6FA42035">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A1安全承诺</w:t>
            </w:r>
          </w:p>
        </w:tc>
        <w:tc>
          <w:tcPr>
            <w:tcW w:w="1809" w:type="dxa"/>
            <w:vMerge w:val="restart"/>
            <w:shd w:val="clear" w:color="auto" w:fill="E2EFD9" w:themeFill="accent6" w:themeFillTint="33"/>
            <w:vAlign w:val="center"/>
          </w:tcPr>
          <w:p w14:paraId="4E64AE32">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构建全面有效的管理体系（E）</w:t>
            </w:r>
          </w:p>
        </w:tc>
        <w:tc>
          <w:tcPr>
            <w:tcW w:w="2617" w:type="dxa"/>
            <w:shd w:val="clear" w:color="auto" w:fill="E2EFD9" w:themeFill="accent6" w:themeFillTint="33"/>
            <w:vAlign w:val="center"/>
          </w:tcPr>
          <w:p w14:paraId="5EC2B9BE">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E1组织机构</w:t>
            </w:r>
          </w:p>
        </w:tc>
      </w:tr>
      <w:tr w14:paraId="7CDE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2195" w:type="dxa"/>
            <w:vMerge w:val="continue"/>
            <w:shd w:val="clear" w:color="auto" w:fill="E7E6E6" w:themeFill="background2"/>
            <w:vAlign w:val="center"/>
          </w:tcPr>
          <w:p w14:paraId="455C67DA">
            <w:pPr>
              <w:pageBreakBefore w:val="0"/>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6BE16CC8">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A2决策行为</w:t>
            </w:r>
          </w:p>
        </w:tc>
        <w:tc>
          <w:tcPr>
            <w:tcW w:w="1809" w:type="dxa"/>
            <w:vMerge w:val="continue"/>
            <w:shd w:val="clear" w:color="auto" w:fill="E2EFD9" w:themeFill="accent6" w:themeFillTint="33"/>
            <w:vAlign w:val="center"/>
          </w:tcPr>
          <w:p w14:paraId="109D3ED5">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0DA7F4F3">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E2资源管理</w:t>
            </w:r>
          </w:p>
        </w:tc>
      </w:tr>
      <w:tr w14:paraId="62DCE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2195" w:type="dxa"/>
            <w:vMerge w:val="continue"/>
            <w:shd w:val="clear" w:color="auto" w:fill="E7E6E6" w:themeFill="background2"/>
            <w:vAlign w:val="center"/>
          </w:tcPr>
          <w:p w14:paraId="18C714C9">
            <w:pPr>
              <w:pageBreakBefore w:val="0"/>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1194262A">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A3</w:t>
            </w:r>
            <w:r>
              <w:rPr>
                <w:rFonts w:hint="eastAsia" w:hAnsiTheme="minorEastAsia" w:cstheme="minorEastAsia"/>
                <w:sz w:val="20"/>
                <w:szCs w:val="20"/>
                <w:highlight w:val="none"/>
                <w:lang w:val="en-US" w:eastAsia="zh-CN"/>
              </w:rPr>
              <w:t>责权对等</w:t>
            </w:r>
          </w:p>
        </w:tc>
        <w:tc>
          <w:tcPr>
            <w:tcW w:w="1809" w:type="dxa"/>
            <w:vMerge w:val="continue"/>
            <w:shd w:val="clear" w:color="auto" w:fill="E2EFD9" w:themeFill="accent6" w:themeFillTint="33"/>
            <w:vAlign w:val="center"/>
          </w:tcPr>
          <w:p w14:paraId="28D1BD74">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4367BC70">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E3过程控制</w:t>
            </w:r>
          </w:p>
        </w:tc>
      </w:tr>
      <w:tr w14:paraId="7F83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691E6BC6">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4260B26C">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A4资源保障</w:t>
            </w:r>
          </w:p>
        </w:tc>
        <w:tc>
          <w:tcPr>
            <w:tcW w:w="1809" w:type="dxa"/>
            <w:vMerge w:val="continue"/>
            <w:shd w:val="clear" w:color="auto" w:fill="E2EFD9" w:themeFill="accent6" w:themeFillTint="33"/>
            <w:vAlign w:val="center"/>
          </w:tcPr>
          <w:p w14:paraId="0B818BC6">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461BA19A">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rPr>
              <w:t>E4识别解决</w:t>
            </w:r>
            <w:r>
              <w:rPr>
                <w:rFonts w:hint="eastAsia" w:hAnsiTheme="minorEastAsia" w:cstheme="minorEastAsia"/>
                <w:sz w:val="20"/>
                <w:szCs w:val="20"/>
                <w:highlight w:val="none"/>
                <w:lang w:val="en-US" w:eastAsia="zh-CN"/>
              </w:rPr>
              <w:t>问题</w:t>
            </w:r>
          </w:p>
        </w:tc>
      </w:tr>
      <w:tr w14:paraId="19B5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2442AE13">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66578D12">
            <w:pPr>
              <w:pageBreakBefore w:val="0"/>
              <w:kinsoku/>
              <w:overflowPunct/>
              <w:topLinePunct w:val="0"/>
              <w:bidi w:val="0"/>
              <w:adjustRightInd w:val="0"/>
              <w:snapToGrid w:val="0"/>
              <w:spacing w:line="360" w:lineRule="exact"/>
              <w:rPr>
                <w:rFonts w:hint="default" w:asciiTheme="minorEastAsia" w:hAnsiTheme="minorEastAsia" w:eastAsiaTheme="minorEastAsia" w:cstheme="minorEastAsia"/>
                <w:sz w:val="20"/>
                <w:szCs w:val="20"/>
                <w:highlight w:val="none"/>
                <w:lang w:val="en-US" w:eastAsia="zh-CN"/>
              </w:rPr>
            </w:pPr>
            <w:r>
              <w:rPr>
                <w:rFonts w:hint="eastAsia" w:hAnsiTheme="minorEastAsia" w:cstheme="minorEastAsia"/>
                <w:sz w:val="20"/>
                <w:szCs w:val="20"/>
                <w:highlight w:val="none"/>
                <w:lang w:val="en-US" w:eastAsia="zh-CN"/>
              </w:rPr>
              <w:t>A5 现场巡视</w:t>
            </w:r>
          </w:p>
        </w:tc>
        <w:tc>
          <w:tcPr>
            <w:tcW w:w="1809" w:type="dxa"/>
            <w:vMerge w:val="continue"/>
            <w:shd w:val="clear" w:color="auto" w:fill="E2EFD9" w:themeFill="accent6" w:themeFillTint="33"/>
            <w:vAlign w:val="center"/>
          </w:tcPr>
          <w:p w14:paraId="7A3CA21B">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5C3266CC">
            <w:pPr>
              <w:pageBreakBefore w:val="0"/>
              <w:kinsoku/>
              <w:overflowPunct/>
              <w:topLinePunct w:val="0"/>
              <w:bidi w:val="0"/>
              <w:adjustRightInd w:val="0"/>
              <w:snapToGrid w:val="0"/>
              <w:spacing w:line="360" w:lineRule="exact"/>
              <w:rPr>
                <w:rFonts w:hint="default" w:asciiTheme="minorEastAsia" w:hAnsiTheme="minorEastAsia" w:eastAsiaTheme="minorEastAsia" w:cstheme="minorEastAsia"/>
                <w:sz w:val="20"/>
                <w:szCs w:val="20"/>
                <w:highlight w:val="none"/>
                <w:lang w:val="en-US" w:eastAsia="zh-CN"/>
              </w:rPr>
            </w:pPr>
            <w:r>
              <w:rPr>
                <w:rFonts w:hint="eastAsia" w:hAnsiTheme="minorEastAsia" w:cstheme="minorEastAsia"/>
                <w:sz w:val="20"/>
                <w:szCs w:val="20"/>
                <w:highlight w:val="none"/>
                <w:lang w:val="en-US" w:eastAsia="zh-CN"/>
              </w:rPr>
              <w:t>E5 变更管理</w:t>
            </w:r>
          </w:p>
        </w:tc>
      </w:tr>
      <w:tr w14:paraId="13B2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95" w:type="dxa"/>
            <w:vMerge w:val="restart"/>
            <w:shd w:val="clear" w:color="auto" w:fill="E7E6E6" w:themeFill="background2"/>
            <w:vAlign w:val="center"/>
          </w:tcPr>
          <w:p w14:paraId="60E7810C">
            <w:pPr>
              <w:pageBreakBefore w:val="0"/>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管理层的态度和表率（B）</w:t>
            </w:r>
          </w:p>
        </w:tc>
        <w:tc>
          <w:tcPr>
            <w:tcW w:w="1641" w:type="dxa"/>
            <w:shd w:val="clear" w:color="auto" w:fill="E7E6E6" w:themeFill="background2"/>
            <w:vAlign w:val="center"/>
          </w:tcPr>
          <w:p w14:paraId="08978D61">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B1表率作用</w:t>
            </w:r>
          </w:p>
        </w:tc>
        <w:tc>
          <w:tcPr>
            <w:tcW w:w="1809" w:type="dxa"/>
            <w:vMerge w:val="restart"/>
            <w:shd w:val="clear" w:color="auto" w:fill="E2EFD9" w:themeFill="accent6" w:themeFillTint="33"/>
            <w:vAlign w:val="center"/>
          </w:tcPr>
          <w:p w14:paraId="4B84DEA3">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营造适宜的工作环境（F）</w:t>
            </w:r>
          </w:p>
        </w:tc>
        <w:tc>
          <w:tcPr>
            <w:tcW w:w="2617" w:type="dxa"/>
            <w:shd w:val="clear" w:color="auto" w:fill="E2EFD9" w:themeFill="accent6" w:themeFillTint="33"/>
            <w:vAlign w:val="center"/>
          </w:tcPr>
          <w:p w14:paraId="5EF7876E">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rPr>
              <w:t>F1</w:t>
            </w:r>
            <w:r>
              <w:rPr>
                <w:rFonts w:hint="eastAsia" w:hAnsiTheme="minorEastAsia" w:cstheme="minorEastAsia"/>
                <w:sz w:val="20"/>
                <w:szCs w:val="20"/>
                <w:highlight w:val="none"/>
                <w:lang w:val="en-US" w:eastAsia="zh-CN"/>
              </w:rPr>
              <w:t xml:space="preserve"> </w:t>
            </w:r>
            <w:r>
              <w:rPr>
                <w:rFonts w:hint="eastAsia" w:asciiTheme="minorEastAsia" w:hAnsiTheme="minorEastAsia" w:eastAsiaTheme="minorEastAsia" w:cstheme="minorEastAsia"/>
                <w:sz w:val="20"/>
                <w:szCs w:val="20"/>
                <w:highlight w:val="none"/>
              </w:rPr>
              <w:t>环境</w:t>
            </w:r>
            <w:r>
              <w:rPr>
                <w:rFonts w:hint="eastAsia" w:hAnsiTheme="minorEastAsia" w:cstheme="minorEastAsia"/>
                <w:sz w:val="20"/>
                <w:szCs w:val="20"/>
                <w:highlight w:val="none"/>
                <w:lang w:val="en-US" w:eastAsia="zh-CN"/>
              </w:rPr>
              <w:t>条件</w:t>
            </w:r>
          </w:p>
        </w:tc>
      </w:tr>
      <w:tr w14:paraId="52B04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64348881">
            <w:pPr>
              <w:pageBreakBefore w:val="0"/>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18165911">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B2</w:t>
            </w:r>
            <w:r>
              <w:rPr>
                <w:rFonts w:hint="eastAsia" w:asciiTheme="minorEastAsia" w:hAnsiTheme="minorEastAsia" w:eastAsiaTheme="minorEastAsia" w:cstheme="minorEastAsia"/>
                <w:sz w:val="20"/>
                <w:szCs w:val="20"/>
                <w:highlight w:val="none"/>
                <w:lang w:val="en-US" w:eastAsia="zh-CN"/>
              </w:rPr>
              <w:t>安全</w:t>
            </w:r>
            <w:r>
              <w:rPr>
                <w:rFonts w:hint="eastAsia" w:asciiTheme="minorEastAsia" w:hAnsiTheme="minorEastAsia" w:eastAsiaTheme="minorEastAsia" w:cstheme="minorEastAsia"/>
                <w:sz w:val="20"/>
                <w:szCs w:val="20"/>
                <w:highlight w:val="none"/>
              </w:rPr>
              <w:t>责任</w:t>
            </w:r>
          </w:p>
        </w:tc>
        <w:tc>
          <w:tcPr>
            <w:tcW w:w="1809" w:type="dxa"/>
            <w:vMerge w:val="continue"/>
            <w:shd w:val="clear" w:color="auto" w:fill="E2EFD9" w:themeFill="accent6" w:themeFillTint="33"/>
            <w:vAlign w:val="center"/>
          </w:tcPr>
          <w:p w14:paraId="6B8F9096">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37024EBB">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F2激励</w:t>
            </w:r>
            <w:r>
              <w:rPr>
                <w:rFonts w:hint="eastAsia" w:hAnsiTheme="minorEastAsia" w:cstheme="minorEastAsia"/>
                <w:sz w:val="20"/>
                <w:szCs w:val="20"/>
                <w:highlight w:val="none"/>
                <w:lang w:val="en-US" w:eastAsia="zh-CN"/>
              </w:rPr>
              <w:t>考核</w:t>
            </w:r>
          </w:p>
        </w:tc>
      </w:tr>
      <w:tr w14:paraId="6248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195" w:type="dxa"/>
            <w:vMerge w:val="continue"/>
            <w:shd w:val="clear" w:color="auto" w:fill="E7E6E6" w:themeFill="background2"/>
            <w:vAlign w:val="center"/>
          </w:tcPr>
          <w:p w14:paraId="3B50D5F9">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66DA7D47">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B3资源分配</w:t>
            </w:r>
          </w:p>
        </w:tc>
        <w:tc>
          <w:tcPr>
            <w:tcW w:w="1809" w:type="dxa"/>
            <w:vMerge w:val="continue"/>
            <w:shd w:val="clear" w:color="auto" w:fill="E2EFD9" w:themeFill="accent6" w:themeFillTint="33"/>
            <w:vAlign w:val="center"/>
          </w:tcPr>
          <w:p w14:paraId="502B7AAE">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3F13E2EE">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F3沟通交流</w:t>
            </w:r>
          </w:p>
        </w:tc>
      </w:tr>
      <w:tr w14:paraId="6A8E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74DFE2D6">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72FFE1D4">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B4常态检查</w:t>
            </w:r>
          </w:p>
        </w:tc>
        <w:tc>
          <w:tcPr>
            <w:tcW w:w="1809" w:type="dxa"/>
            <w:vMerge w:val="continue"/>
            <w:shd w:val="clear" w:color="auto" w:fill="E2EFD9" w:themeFill="accent6" w:themeFillTint="33"/>
            <w:vAlign w:val="center"/>
          </w:tcPr>
          <w:p w14:paraId="009AAC1C">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4CC7FACE">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F4</w:t>
            </w:r>
            <w:r>
              <w:rPr>
                <w:rFonts w:hint="eastAsia" w:hAnsiTheme="minorEastAsia" w:cstheme="minorEastAsia"/>
                <w:sz w:val="20"/>
                <w:szCs w:val="20"/>
                <w:highlight w:val="none"/>
                <w:lang w:val="en-US" w:eastAsia="zh-CN"/>
              </w:rPr>
              <w:t xml:space="preserve"> 解决矛盾</w:t>
            </w:r>
          </w:p>
        </w:tc>
      </w:tr>
      <w:tr w14:paraId="6019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60228B99">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vMerge w:val="restart"/>
            <w:shd w:val="clear" w:color="auto" w:fill="E7E6E6" w:themeFill="background2"/>
            <w:vAlign w:val="center"/>
          </w:tcPr>
          <w:p w14:paraId="315CBA5A">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B5保守决策</w:t>
            </w:r>
          </w:p>
        </w:tc>
        <w:tc>
          <w:tcPr>
            <w:tcW w:w="1809" w:type="dxa"/>
            <w:vMerge w:val="continue"/>
            <w:shd w:val="clear" w:color="auto" w:fill="E2EFD9" w:themeFill="accent6" w:themeFillTint="33"/>
            <w:vAlign w:val="center"/>
          </w:tcPr>
          <w:p w14:paraId="5FD9C89F">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44E23C15">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hAnsiTheme="minorEastAsia" w:cstheme="minorEastAsia"/>
                <w:sz w:val="20"/>
                <w:szCs w:val="20"/>
                <w:highlight w:val="none"/>
                <w:lang w:val="en-US" w:eastAsia="zh-CN"/>
              </w:rPr>
              <w:t>F5</w:t>
            </w:r>
            <w:r>
              <w:rPr>
                <w:rFonts w:hint="eastAsia" w:asciiTheme="minorEastAsia" w:hAnsiTheme="minorEastAsia" w:eastAsiaTheme="minorEastAsia" w:cstheme="minorEastAsia"/>
                <w:sz w:val="20"/>
                <w:szCs w:val="20"/>
                <w:highlight w:val="none"/>
              </w:rPr>
              <w:t>工作氛围</w:t>
            </w:r>
          </w:p>
        </w:tc>
      </w:tr>
      <w:tr w14:paraId="494A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7141928E">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vMerge w:val="continue"/>
            <w:shd w:val="clear" w:color="auto" w:fill="E7E6E6" w:themeFill="background2"/>
            <w:vAlign w:val="center"/>
          </w:tcPr>
          <w:p w14:paraId="460E539E">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p>
        </w:tc>
        <w:tc>
          <w:tcPr>
            <w:tcW w:w="1809" w:type="dxa"/>
            <w:vMerge w:val="continue"/>
            <w:shd w:val="clear" w:color="auto" w:fill="E2EFD9" w:themeFill="accent6" w:themeFillTint="33"/>
            <w:vAlign w:val="center"/>
          </w:tcPr>
          <w:p w14:paraId="4F158FBE">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5D34FF6A">
            <w:pPr>
              <w:pageBreakBefore w:val="0"/>
              <w:kinsoku/>
              <w:overflowPunct/>
              <w:topLinePunct w:val="0"/>
              <w:bidi w:val="0"/>
              <w:adjustRightInd w:val="0"/>
              <w:snapToGrid w:val="0"/>
              <w:spacing w:line="360" w:lineRule="exact"/>
              <w:rPr>
                <w:rFonts w:hint="default" w:asciiTheme="minorEastAsia" w:hAnsiTheme="minorEastAsia" w:eastAsiaTheme="minorEastAsia" w:cstheme="minorEastAsia"/>
                <w:sz w:val="20"/>
                <w:szCs w:val="20"/>
                <w:highlight w:val="none"/>
                <w:lang w:val="en-US" w:eastAsia="zh-CN"/>
              </w:rPr>
            </w:pPr>
            <w:r>
              <w:rPr>
                <w:rFonts w:hint="eastAsia" w:hAnsiTheme="minorEastAsia" w:cstheme="minorEastAsia"/>
                <w:sz w:val="20"/>
                <w:szCs w:val="20"/>
                <w:highlight w:val="none"/>
                <w:lang w:val="en-US" w:eastAsia="zh-CN"/>
              </w:rPr>
              <w:t>F6 透明文化</w:t>
            </w:r>
          </w:p>
        </w:tc>
      </w:tr>
      <w:tr w14:paraId="28B9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restart"/>
            <w:shd w:val="clear" w:color="auto" w:fill="E7E6E6" w:themeFill="background2"/>
            <w:vAlign w:val="center"/>
          </w:tcPr>
          <w:p w14:paraId="7DE81DA8">
            <w:pPr>
              <w:pageBreakBefore w:val="0"/>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全员的参与和责任意识（C）</w:t>
            </w:r>
          </w:p>
        </w:tc>
        <w:tc>
          <w:tcPr>
            <w:tcW w:w="1641" w:type="dxa"/>
            <w:shd w:val="clear" w:color="auto" w:fill="E7E6E6" w:themeFill="background2"/>
            <w:vAlign w:val="center"/>
          </w:tcPr>
          <w:p w14:paraId="252C72AB">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b/>
                <w:kern w:val="2"/>
                <w:sz w:val="20"/>
                <w:szCs w:val="20"/>
                <w:highlight w:val="none"/>
                <w:lang w:val="en-US" w:eastAsia="zh-CN" w:bidi="ar-SA"/>
              </w:rPr>
            </w:pPr>
            <w:r>
              <w:rPr>
                <w:rFonts w:hint="eastAsia" w:asciiTheme="minorEastAsia" w:hAnsiTheme="minorEastAsia" w:eastAsiaTheme="minorEastAsia" w:cstheme="minorEastAsia"/>
                <w:sz w:val="20"/>
                <w:szCs w:val="20"/>
                <w:highlight w:val="none"/>
              </w:rPr>
              <w:t>C1</w:t>
            </w:r>
            <w:r>
              <w:rPr>
                <w:rFonts w:hint="eastAsia" w:hAnsiTheme="minorEastAsia" w:cstheme="minorEastAsia"/>
                <w:sz w:val="20"/>
                <w:szCs w:val="20"/>
                <w:highlight w:val="none"/>
                <w:lang w:val="en-US" w:eastAsia="zh-CN"/>
              </w:rPr>
              <w:t>守法遵章</w:t>
            </w:r>
          </w:p>
        </w:tc>
        <w:tc>
          <w:tcPr>
            <w:tcW w:w="1809" w:type="dxa"/>
            <w:vMerge w:val="restart"/>
            <w:shd w:val="clear" w:color="auto" w:fill="E2EFD9" w:themeFill="accent6" w:themeFillTint="33"/>
            <w:vAlign w:val="center"/>
          </w:tcPr>
          <w:p w14:paraId="572CDA6B">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建立对安全问题的质疑、报告和经验反馈机制（G）</w:t>
            </w:r>
          </w:p>
        </w:tc>
        <w:tc>
          <w:tcPr>
            <w:tcW w:w="2617" w:type="dxa"/>
            <w:shd w:val="clear" w:color="auto" w:fill="E2EFD9" w:themeFill="accent6" w:themeFillTint="33"/>
            <w:vAlign w:val="center"/>
          </w:tcPr>
          <w:p w14:paraId="6A110AFE">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G1核</w:t>
            </w:r>
            <w:r>
              <w:rPr>
                <w:rFonts w:hint="eastAsia" w:hAnsiTheme="minorEastAsia" w:cstheme="minorEastAsia"/>
                <w:sz w:val="20"/>
                <w:szCs w:val="20"/>
                <w:highlight w:val="none"/>
                <w:lang w:val="en-US" w:eastAsia="zh-CN"/>
              </w:rPr>
              <w:t>能的</w:t>
            </w:r>
            <w:r>
              <w:rPr>
                <w:rFonts w:hint="eastAsia" w:asciiTheme="minorEastAsia" w:hAnsiTheme="minorEastAsia" w:eastAsiaTheme="minorEastAsia" w:cstheme="minorEastAsia"/>
                <w:sz w:val="20"/>
                <w:szCs w:val="20"/>
                <w:highlight w:val="none"/>
              </w:rPr>
              <w:t>特殊性</w:t>
            </w:r>
          </w:p>
        </w:tc>
      </w:tr>
      <w:tr w14:paraId="3022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47E8A699">
            <w:pPr>
              <w:pageBreakBefore w:val="0"/>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57402F28">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kern w:val="2"/>
                <w:sz w:val="20"/>
                <w:szCs w:val="20"/>
                <w:highlight w:val="none"/>
                <w:lang w:val="en-US" w:eastAsia="zh-CN" w:bidi="ar-SA"/>
              </w:rPr>
            </w:pPr>
            <w:r>
              <w:rPr>
                <w:rFonts w:hint="eastAsia" w:asciiTheme="minorEastAsia" w:hAnsiTheme="minorEastAsia" w:eastAsiaTheme="minorEastAsia" w:cstheme="minorEastAsia"/>
                <w:sz w:val="20"/>
                <w:szCs w:val="20"/>
                <w:highlight w:val="none"/>
              </w:rPr>
              <w:t>C2遵守程序</w:t>
            </w:r>
          </w:p>
        </w:tc>
        <w:tc>
          <w:tcPr>
            <w:tcW w:w="1809" w:type="dxa"/>
            <w:vMerge w:val="continue"/>
            <w:shd w:val="clear" w:color="auto" w:fill="E2EFD9" w:themeFill="accent6" w:themeFillTint="33"/>
            <w:vAlign w:val="center"/>
          </w:tcPr>
          <w:p w14:paraId="22AD0925">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37A00B20">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G2质疑的态度</w:t>
            </w:r>
          </w:p>
        </w:tc>
      </w:tr>
      <w:tr w14:paraId="7399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1613E799">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1DF21EB2">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kern w:val="2"/>
                <w:sz w:val="20"/>
                <w:szCs w:val="20"/>
                <w:highlight w:val="none"/>
                <w:lang w:val="en-US" w:eastAsia="zh-CN" w:bidi="ar-SA"/>
              </w:rPr>
            </w:pPr>
            <w:r>
              <w:rPr>
                <w:rFonts w:hint="eastAsia" w:asciiTheme="minorEastAsia" w:hAnsiTheme="minorEastAsia" w:eastAsiaTheme="minorEastAsia" w:cstheme="minorEastAsia"/>
                <w:sz w:val="20"/>
                <w:szCs w:val="20"/>
                <w:highlight w:val="none"/>
              </w:rPr>
              <w:t>C3责任意识</w:t>
            </w:r>
          </w:p>
        </w:tc>
        <w:tc>
          <w:tcPr>
            <w:tcW w:w="1809" w:type="dxa"/>
            <w:vMerge w:val="continue"/>
            <w:shd w:val="clear" w:color="auto" w:fill="E2EFD9" w:themeFill="accent6" w:themeFillTint="33"/>
            <w:vAlign w:val="center"/>
          </w:tcPr>
          <w:p w14:paraId="5C8A29F5">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189A97ED">
            <w:pPr>
              <w:pageBreakBefore w:val="0"/>
              <w:kinsoku/>
              <w:overflowPunct/>
              <w:topLinePunct w:val="0"/>
              <w:bidi w:val="0"/>
              <w:adjustRightInd w:val="0"/>
              <w:snapToGrid w:val="0"/>
              <w:spacing w:line="360" w:lineRule="exact"/>
              <w:rPr>
                <w:rFonts w:hint="default" w:asciiTheme="minorEastAsia" w:hAnsiTheme="minorEastAsia" w:eastAsiaTheme="minorEastAsia" w:cstheme="minorEastAsia"/>
                <w:sz w:val="20"/>
                <w:szCs w:val="20"/>
                <w:highlight w:val="none"/>
                <w:lang w:val="en-US" w:eastAsia="zh-CN"/>
              </w:rPr>
            </w:pPr>
            <w:r>
              <w:rPr>
                <w:rFonts w:hint="eastAsia" w:asciiTheme="minorEastAsia" w:hAnsiTheme="minorEastAsia" w:eastAsiaTheme="minorEastAsia" w:cstheme="minorEastAsia"/>
                <w:sz w:val="20"/>
                <w:szCs w:val="20"/>
                <w:highlight w:val="none"/>
              </w:rPr>
              <w:t>G3</w:t>
            </w:r>
            <w:r>
              <w:rPr>
                <w:rFonts w:hint="eastAsia" w:hAnsiTheme="minorEastAsia" w:cstheme="minorEastAsia"/>
                <w:sz w:val="20"/>
                <w:szCs w:val="20"/>
                <w:highlight w:val="none"/>
                <w:lang w:val="en-US" w:eastAsia="zh-CN"/>
              </w:rPr>
              <w:t>安全报告机制</w:t>
            </w:r>
          </w:p>
        </w:tc>
      </w:tr>
      <w:tr w14:paraId="2D71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130AB587">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5E212CB9">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kern w:val="2"/>
                <w:sz w:val="20"/>
                <w:szCs w:val="20"/>
                <w:highlight w:val="none"/>
                <w:lang w:val="en-US" w:eastAsia="zh-CN" w:bidi="ar-SA"/>
              </w:rPr>
            </w:pPr>
            <w:r>
              <w:rPr>
                <w:rFonts w:hint="eastAsia" w:hAnsiTheme="minorEastAsia" w:cstheme="minorEastAsia"/>
                <w:sz w:val="20"/>
                <w:szCs w:val="20"/>
                <w:highlight w:val="none"/>
                <w:lang w:val="en-US" w:eastAsia="zh-CN"/>
              </w:rPr>
              <w:t>C4 工作作风</w:t>
            </w:r>
          </w:p>
        </w:tc>
        <w:tc>
          <w:tcPr>
            <w:tcW w:w="1809" w:type="dxa"/>
            <w:vMerge w:val="continue"/>
            <w:shd w:val="clear" w:color="auto" w:fill="E2EFD9" w:themeFill="accent6" w:themeFillTint="33"/>
            <w:vAlign w:val="center"/>
          </w:tcPr>
          <w:p w14:paraId="68AAF47A">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5EF47F92">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G4</w:t>
            </w:r>
            <w:r>
              <w:rPr>
                <w:rFonts w:hint="eastAsia" w:hAnsiTheme="minorEastAsia" w:cstheme="minorEastAsia"/>
                <w:sz w:val="20"/>
                <w:szCs w:val="20"/>
                <w:highlight w:val="none"/>
                <w:lang w:val="en-US" w:eastAsia="zh-CN"/>
              </w:rPr>
              <w:t>报告</w:t>
            </w:r>
            <w:r>
              <w:rPr>
                <w:rFonts w:hint="eastAsia" w:asciiTheme="minorEastAsia" w:hAnsiTheme="minorEastAsia" w:eastAsiaTheme="minorEastAsia" w:cstheme="minorEastAsia"/>
                <w:sz w:val="20"/>
                <w:szCs w:val="20"/>
                <w:highlight w:val="none"/>
              </w:rPr>
              <w:t>响应</w:t>
            </w:r>
          </w:p>
        </w:tc>
      </w:tr>
      <w:tr w14:paraId="67EE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5DCAE76B">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7E6E6" w:themeFill="background2"/>
            <w:vAlign w:val="center"/>
          </w:tcPr>
          <w:p w14:paraId="24C10510">
            <w:pPr>
              <w:pageBreakBefore w:val="0"/>
              <w:kinsoku/>
              <w:overflowPunct/>
              <w:topLinePunct w:val="0"/>
              <w:bidi w:val="0"/>
              <w:adjustRightInd w:val="0"/>
              <w:snapToGrid w:val="0"/>
              <w:spacing w:line="360" w:lineRule="exact"/>
              <w:rPr>
                <w:rFonts w:hint="default" w:asciiTheme="minorEastAsia" w:hAnsiTheme="minorEastAsia" w:eastAsiaTheme="minorEastAsia" w:cstheme="minorEastAsia"/>
                <w:kern w:val="2"/>
                <w:sz w:val="20"/>
                <w:szCs w:val="20"/>
                <w:highlight w:val="none"/>
                <w:lang w:val="en-US" w:eastAsia="zh-CN" w:bidi="ar-SA"/>
              </w:rPr>
            </w:pPr>
            <w:r>
              <w:rPr>
                <w:rFonts w:hint="eastAsia" w:asciiTheme="minorEastAsia" w:hAnsiTheme="minorEastAsia" w:eastAsiaTheme="minorEastAsia" w:cstheme="minorEastAsia"/>
                <w:sz w:val="20"/>
                <w:szCs w:val="20"/>
                <w:highlight w:val="none"/>
              </w:rPr>
              <w:t>C</w:t>
            </w:r>
            <w:r>
              <w:rPr>
                <w:rFonts w:hint="eastAsia" w:hAnsiTheme="minorEastAsia" w:cstheme="minorEastAsia"/>
                <w:sz w:val="20"/>
                <w:szCs w:val="20"/>
                <w:highlight w:val="none"/>
                <w:lang w:val="en-US" w:eastAsia="zh-CN"/>
              </w:rPr>
              <w:t>5</w:t>
            </w:r>
            <w:r>
              <w:rPr>
                <w:rFonts w:hint="eastAsia" w:asciiTheme="minorEastAsia" w:hAnsiTheme="minorEastAsia" w:eastAsiaTheme="minorEastAsia" w:cstheme="minorEastAsia"/>
                <w:sz w:val="20"/>
                <w:szCs w:val="20"/>
                <w:highlight w:val="none"/>
              </w:rPr>
              <w:t>团队合作</w:t>
            </w:r>
          </w:p>
        </w:tc>
        <w:tc>
          <w:tcPr>
            <w:tcW w:w="1809" w:type="dxa"/>
            <w:vMerge w:val="continue"/>
            <w:shd w:val="clear" w:color="auto" w:fill="E2EFD9" w:themeFill="accent6" w:themeFillTint="33"/>
            <w:vAlign w:val="center"/>
          </w:tcPr>
          <w:p w14:paraId="521DC293">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6BF7296C">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G5经验反馈</w:t>
            </w:r>
          </w:p>
        </w:tc>
      </w:tr>
      <w:tr w14:paraId="61B3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7E6E6" w:themeFill="background2"/>
            <w:vAlign w:val="center"/>
          </w:tcPr>
          <w:p w14:paraId="07FAF49C">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tcBorders>
              <w:bottom w:val="single" w:color="auto" w:sz="4" w:space="0"/>
            </w:tcBorders>
            <w:shd w:val="clear" w:color="auto" w:fill="E7E6E6" w:themeFill="background2"/>
            <w:vAlign w:val="center"/>
          </w:tcPr>
          <w:p w14:paraId="5B6FE51A">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kern w:val="2"/>
                <w:sz w:val="20"/>
                <w:szCs w:val="20"/>
                <w:highlight w:val="none"/>
                <w:lang w:val="en-US" w:eastAsia="zh-CN" w:bidi="ar-SA"/>
              </w:rPr>
            </w:pPr>
            <w:r>
              <w:rPr>
                <w:rFonts w:hint="eastAsia" w:hAnsiTheme="minorEastAsia" w:cstheme="minorEastAsia"/>
                <w:sz w:val="20"/>
                <w:szCs w:val="20"/>
                <w:highlight w:val="none"/>
                <w:lang w:val="en-US" w:eastAsia="zh-CN"/>
              </w:rPr>
              <w:t>C6避免自满</w:t>
            </w:r>
          </w:p>
        </w:tc>
        <w:tc>
          <w:tcPr>
            <w:tcW w:w="1809" w:type="dxa"/>
            <w:vMerge w:val="continue"/>
            <w:shd w:val="clear" w:color="auto" w:fill="E2EFD9" w:themeFill="accent6" w:themeFillTint="33"/>
            <w:vAlign w:val="center"/>
          </w:tcPr>
          <w:p w14:paraId="1C46CA1D">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shd w:val="clear" w:color="auto" w:fill="E2EFD9" w:themeFill="accent6" w:themeFillTint="33"/>
            <w:vAlign w:val="center"/>
          </w:tcPr>
          <w:p w14:paraId="07759ECB">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G6预防人因失误</w:t>
            </w:r>
          </w:p>
        </w:tc>
      </w:tr>
      <w:tr w14:paraId="0DF3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restart"/>
            <w:shd w:val="clear" w:color="auto" w:fill="E2EFD9" w:themeFill="accent6" w:themeFillTint="33"/>
            <w:vAlign w:val="center"/>
          </w:tcPr>
          <w:p w14:paraId="0B83A4CE">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培育学习型组织</w:t>
            </w:r>
          </w:p>
          <w:p w14:paraId="013C2D12">
            <w:pPr>
              <w:pageBreakBefore w:val="0"/>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（D）</w:t>
            </w:r>
          </w:p>
        </w:tc>
        <w:tc>
          <w:tcPr>
            <w:tcW w:w="1641" w:type="dxa"/>
            <w:shd w:val="clear" w:color="auto" w:fill="E2EFD9" w:themeFill="accent6" w:themeFillTint="33"/>
            <w:vAlign w:val="center"/>
          </w:tcPr>
          <w:p w14:paraId="57AA7222">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D1</w:t>
            </w:r>
            <w:r>
              <w:rPr>
                <w:rFonts w:hint="eastAsia" w:hAnsiTheme="minorEastAsia" w:cstheme="minorEastAsia"/>
                <w:sz w:val="20"/>
                <w:szCs w:val="20"/>
                <w:highlight w:val="none"/>
                <w:lang w:val="en-US" w:eastAsia="zh-CN"/>
              </w:rPr>
              <w:t>系统</w:t>
            </w:r>
            <w:r>
              <w:rPr>
                <w:rFonts w:hint="eastAsia" w:asciiTheme="minorEastAsia" w:hAnsiTheme="minorEastAsia" w:eastAsiaTheme="minorEastAsia" w:cstheme="minorEastAsia"/>
                <w:sz w:val="20"/>
                <w:szCs w:val="20"/>
                <w:highlight w:val="none"/>
              </w:rPr>
              <w:t>培训</w:t>
            </w:r>
          </w:p>
        </w:tc>
        <w:tc>
          <w:tcPr>
            <w:tcW w:w="1809" w:type="dxa"/>
            <w:vMerge w:val="restart"/>
            <w:shd w:val="clear" w:color="auto" w:fill="ADB9CA" w:themeFill="text2" w:themeFillTint="66"/>
            <w:vAlign w:val="center"/>
          </w:tcPr>
          <w:p w14:paraId="546C59D9">
            <w:pPr>
              <w:pageBreakBefore w:val="0"/>
              <w:kinsoku/>
              <w:overflowPunct/>
              <w:topLinePunct w:val="0"/>
              <w:bidi w:val="0"/>
              <w:adjustRightInd w:val="0"/>
              <w:snapToGrid w:val="0"/>
              <w:spacing w:line="360" w:lineRule="exact"/>
              <w:jc w:val="lef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创建和谐的公共关系（H）</w:t>
            </w:r>
          </w:p>
        </w:tc>
        <w:tc>
          <w:tcPr>
            <w:tcW w:w="2617" w:type="dxa"/>
            <w:vMerge w:val="restart"/>
            <w:shd w:val="clear" w:color="auto" w:fill="ADB9CA" w:themeFill="text2" w:themeFillTint="66"/>
            <w:vAlign w:val="center"/>
          </w:tcPr>
          <w:p w14:paraId="2D5099E4">
            <w:pPr>
              <w:pageBreakBefore w:val="0"/>
              <w:kinsoku/>
              <w:overflowPunct/>
              <w:topLinePunct w:val="0"/>
              <w:bidi w:val="0"/>
              <w:adjustRightInd/>
              <w:snapToGrid/>
              <w:spacing w:line="240" w:lineRule="auto"/>
              <w:rPr>
                <w:rFonts w:hint="eastAsia" w:asciiTheme="minorEastAsia" w:hAnsiTheme="minorEastAsia" w:eastAsiaTheme="minorEastAsia" w:cstheme="minorEastAsia"/>
                <w:kern w:val="2"/>
                <w:sz w:val="20"/>
                <w:szCs w:val="20"/>
                <w:highlight w:val="none"/>
                <w:lang w:val="en-US" w:eastAsia="zh-CN" w:bidi="ar-SA"/>
              </w:rPr>
            </w:pPr>
            <w:r>
              <w:rPr>
                <w:rFonts w:hint="eastAsia" w:asciiTheme="minorEastAsia" w:hAnsiTheme="minorEastAsia" w:eastAsiaTheme="minorEastAsia" w:cstheme="minorEastAsia"/>
                <w:sz w:val="20"/>
                <w:szCs w:val="20"/>
                <w:highlight w:val="none"/>
              </w:rPr>
              <w:t>H1公众沟通</w:t>
            </w:r>
          </w:p>
        </w:tc>
      </w:tr>
      <w:tr w14:paraId="74FB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2EFD9" w:themeFill="accent6" w:themeFillTint="33"/>
            <w:vAlign w:val="center"/>
          </w:tcPr>
          <w:p w14:paraId="2F756D02">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2EFD9" w:themeFill="accent6" w:themeFillTint="33"/>
            <w:vAlign w:val="center"/>
          </w:tcPr>
          <w:p w14:paraId="55DFAA04">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D2评估改进</w:t>
            </w:r>
          </w:p>
        </w:tc>
        <w:tc>
          <w:tcPr>
            <w:tcW w:w="1809" w:type="dxa"/>
            <w:vMerge w:val="continue"/>
            <w:shd w:val="clear" w:color="auto" w:fill="ADB9CA" w:themeFill="text2" w:themeFillTint="66"/>
            <w:vAlign w:val="center"/>
          </w:tcPr>
          <w:p w14:paraId="2803757F">
            <w:pPr>
              <w:pageBreakBefore w:val="0"/>
              <w:kinsoku/>
              <w:overflowPunct/>
              <w:topLinePunct w:val="0"/>
              <w:bidi w:val="0"/>
              <w:adjustRightInd w:val="0"/>
              <w:snapToGrid w:val="0"/>
              <w:spacing w:line="360" w:lineRule="exact"/>
              <w:jc w:val="left"/>
              <w:rPr>
                <w:rFonts w:hint="eastAsia" w:asciiTheme="minorEastAsia" w:hAnsiTheme="minorEastAsia" w:eastAsiaTheme="minorEastAsia" w:cstheme="minorEastAsia"/>
                <w:sz w:val="20"/>
                <w:szCs w:val="20"/>
                <w:highlight w:val="none"/>
              </w:rPr>
            </w:pPr>
          </w:p>
        </w:tc>
        <w:tc>
          <w:tcPr>
            <w:tcW w:w="2617" w:type="dxa"/>
            <w:vMerge w:val="continue"/>
            <w:shd w:val="clear" w:color="auto" w:fill="ADB9CA" w:themeFill="text2" w:themeFillTint="66"/>
            <w:vAlign w:val="center"/>
          </w:tcPr>
          <w:p w14:paraId="0196228D">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kern w:val="2"/>
                <w:sz w:val="20"/>
                <w:szCs w:val="20"/>
                <w:highlight w:val="none"/>
                <w:lang w:val="en-US" w:eastAsia="zh-CN" w:bidi="ar-SA"/>
              </w:rPr>
            </w:pPr>
          </w:p>
        </w:tc>
      </w:tr>
      <w:tr w14:paraId="1B59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2EFD9" w:themeFill="accent6" w:themeFillTint="33"/>
            <w:vAlign w:val="center"/>
          </w:tcPr>
          <w:p w14:paraId="5A0D96B1">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shd w:val="clear" w:color="auto" w:fill="E2EFD9" w:themeFill="accent6" w:themeFillTint="33"/>
            <w:vAlign w:val="center"/>
          </w:tcPr>
          <w:p w14:paraId="256D3978">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D3 对标</w:t>
            </w:r>
          </w:p>
        </w:tc>
        <w:tc>
          <w:tcPr>
            <w:tcW w:w="1809" w:type="dxa"/>
            <w:vMerge w:val="continue"/>
            <w:shd w:val="clear" w:color="auto" w:fill="ADB9CA" w:themeFill="text2" w:themeFillTint="66"/>
            <w:vAlign w:val="center"/>
          </w:tcPr>
          <w:p w14:paraId="55E2C1E9">
            <w:pPr>
              <w:pageBreakBefore w:val="0"/>
              <w:kinsoku/>
              <w:overflowPunct/>
              <w:topLinePunct w:val="0"/>
              <w:bidi w:val="0"/>
              <w:adjustRightInd w:val="0"/>
              <w:snapToGrid w:val="0"/>
              <w:spacing w:line="360" w:lineRule="exact"/>
              <w:jc w:val="left"/>
              <w:rPr>
                <w:rFonts w:hint="eastAsia" w:asciiTheme="minorEastAsia" w:hAnsiTheme="minorEastAsia" w:eastAsiaTheme="minorEastAsia" w:cstheme="minorEastAsia"/>
                <w:sz w:val="20"/>
                <w:szCs w:val="20"/>
                <w:highlight w:val="none"/>
              </w:rPr>
            </w:pPr>
          </w:p>
        </w:tc>
        <w:tc>
          <w:tcPr>
            <w:tcW w:w="2617" w:type="dxa"/>
            <w:vMerge w:val="restart"/>
            <w:shd w:val="clear" w:color="auto" w:fill="ADB9CA" w:themeFill="text2" w:themeFillTint="66"/>
            <w:vAlign w:val="center"/>
          </w:tcPr>
          <w:p w14:paraId="60E1ED98">
            <w:pPr>
              <w:pageBreakBefore w:val="0"/>
              <w:kinsoku/>
              <w:overflowPunct/>
              <w:topLinePunct w:val="0"/>
              <w:bidi w:val="0"/>
              <w:adjustRightInd/>
              <w:snapToGrid/>
              <w:spacing w:line="240" w:lineRule="auto"/>
              <w:rPr>
                <w:rFonts w:hint="eastAsia" w:asciiTheme="minorEastAsia" w:hAnsiTheme="minorEastAsia" w:eastAsiaTheme="minorEastAsia" w:cstheme="minorEastAsia"/>
                <w:kern w:val="2"/>
                <w:sz w:val="20"/>
                <w:szCs w:val="20"/>
                <w:highlight w:val="none"/>
                <w:lang w:val="en-US" w:eastAsia="zh-CN" w:bidi="ar-SA"/>
              </w:rPr>
            </w:pPr>
            <w:r>
              <w:rPr>
                <w:rFonts w:hint="eastAsia" w:hAnsiTheme="minorEastAsia" w:cstheme="minorEastAsia"/>
                <w:sz w:val="20"/>
                <w:szCs w:val="20"/>
                <w:highlight w:val="none"/>
                <w:lang w:val="en-US" w:eastAsia="zh-CN"/>
              </w:rPr>
              <w:t>H2</w:t>
            </w:r>
            <w:r>
              <w:rPr>
                <w:rFonts w:hint="eastAsia" w:asciiTheme="minorEastAsia" w:hAnsiTheme="minorEastAsia" w:eastAsiaTheme="minorEastAsia" w:cstheme="minorEastAsia"/>
                <w:sz w:val="20"/>
                <w:szCs w:val="20"/>
                <w:highlight w:val="none"/>
              </w:rPr>
              <w:t>社会责任</w:t>
            </w:r>
          </w:p>
        </w:tc>
      </w:tr>
      <w:tr w14:paraId="1866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2EFD9" w:themeFill="accent6" w:themeFillTint="33"/>
            <w:vAlign w:val="center"/>
          </w:tcPr>
          <w:p w14:paraId="7E2D5655">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tcBorders>
              <w:right w:val="single" w:color="auto" w:sz="4" w:space="0"/>
            </w:tcBorders>
            <w:shd w:val="clear" w:color="auto" w:fill="E2EFD9" w:themeFill="accent6" w:themeFillTint="33"/>
            <w:vAlign w:val="center"/>
          </w:tcPr>
          <w:p w14:paraId="7BC91E1F">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D4学习氛围</w:t>
            </w:r>
          </w:p>
        </w:tc>
        <w:tc>
          <w:tcPr>
            <w:tcW w:w="1809" w:type="dxa"/>
            <w:vMerge w:val="continue"/>
            <w:shd w:val="clear" w:color="auto" w:fill="ADB9CA" w:themeFill="text2" w:themeFillTint="66"/>
            <w:vAlign w:val="center"/>
          </w:tcPr>
          <w:p w14:paraId="1A24B6A8">
            <w:pPr>
              <w:pageBreakBefore w:val="0"/>
              <w:kinsoku/>
              <w:overflowPunct/>
              <w:topLinePunct w:val="0"/>
              <w:bidi w:val="0"/>
              <w:adjustRightInd w:val="0"/>
              <w:snapToGrid w:val="0"/>
              <w:spacing w:line="360" w:lineRule="exact"/>
              <w:jc w:val="left"/>
              <w:rPr>
                <w:rFonts w:hint="eastAsia" w:asciiTheme="minorEastAsia" w:hAnsiTheme="minorEastAsia" w:eastAsiaTheme="minorEastAsia" w:cstheme="minorEastAsia"/>
                <w:sz w:val="20"/>
                <w:szCs w:val="20"/>
                <w:highlight w:val="none"/>
              </w:rPr>
            </w:pPr>
          </w:p>
        </w:tc>
        <w:tc>
          <w:tcPr>
            <w:tcW w:w="2617" w:type="dxa"/>
            <w:vMerge w:val="continue"/>
            <w:shd w:val="clear" w:color="auto" w:fill="ADB9CA" w:themeFill="text2" w:themeFillTint="66"/>
            <w:vAlign w:val="center"/>
          </w:tcPr>
          <w:p w14:paraId="5D9ED1A0">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kern w:val="2"/>
                <w:sz w:val="20"/>
                <w:szCs w:val="20"/>
                <w:highlight w:val="none"/>
                <w:lang w:val="en-US" w:eastAsia="zh-CN" w:bidi="ar-SA"/>
              </w:rPr>
            </w:pPr>
          </w:p>
        </w:tc>
      </w:tr>
      <w:tr w14:paraId="2468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195" w:type="dxa"/>
            <w:vMerge w:val="continue"/>
            <w:shd w:val="clear" w:color="auto" w:fill="E2EFD9" w:themeFill="accent6" w:themeFillTint="33"/>
            <w:vAlign w:val="center"/>
          </w:tcPr>
          <w:p w14:paraId="19692B09">
            <w:pPr>
              <w:pageBreakBefore w:val="0"/>
              <w:widowControl/>
              <w:kinsoku/>
              <w:overflowPunct/>
              <w:topLinePunct w:val="0"/>
              <w:bidi w:val="0"/>
              <w:adjustRightInd w:val="0"/>
              <w:snapToGrid w:val="0"/>
              <w:jc w:val="center"/>
              <w:rPr>
                <w:rFonts w:hint="eastAsia" w:asciiTheme="minorEastAsia" w:hAnsiTheme="minorEastAsia" w:eastAsiaTheme="minorEastAsia" w:cstheme="minorEastAsia"/>
                <w:sz w:val="20"/>
                <w:szCs w:val="20"/>
                <w:highlight w:val="none"/>
              </w:rPr>
            </w:pPr>
          </w:p>
        </w:tc>
        <w:tc>
          <w:tcPr>
            <w:tcW w:w="1641" w:type="dxa"/>
            <w:tcBorders>
              <w:right w:val="single" w:color="auto" w:sz="4" w:space="0"/>
            </w:tcBorders>
            <w:shd w:val="clear" w:color="auto" w:fill="E2EFD9" w:themeFill="accent6" w:themeFillTint="33"/>
            <w:vAlign w:val="center"/>
          </w:tcPr>
          <w:p w14:paraId="4F23A1FA">
            <w:pPr>
              <w:pageBreakBefore w:val="0"/>
              <w:kinsoku/>
              <w:overflowPunct/>
              <w:topLinePunct w:val="0"/>
              <w:bidi w:val="0"/>
              <w:adjustRightInd w:val="0"/>
              <w:snapToGrid w:val="0"/>
              <w:spacing w:line="360" w:lineRule="exact"/>
              <w:rPr>
                <w:rFonts w:hint="default" w:asciiTheme="minorEastAsia" w:hAnsiTheme="minorEastAsia" w:eastAsiaTheme="minorEastAsia" w:cstheme="minorEastAsia"/>
                <w:sz w:val="20"/>
                <w:szCs w:val="20"/>
                <w:highlight w:val="none"/>
                <w:lang w:val="en-US" w:eastAsia="zh-CN"/>
              </w:rPr>
            </w:pPr>
            <w:r>
              <w:rPr>
                <w:rFonts w:hint="eastAsia" w:hAnsiTheme="minorEastAsia" w:cstheme="minorEastAsia"/>
                <w:sz w:val="20"/>
                <w:szCs w:val="20"/>
                <w:highlight w:val="none"/>
                <w:lang w:val="en-US" w:eastAsia="zh-CN"/>
              </w:rPr>
              <w:t>D5 领导力培育</w:t>
            </w:r>
          </w:p>
        </w:tc>
        <w:tc>
          <w:tcPr>
            <w:tcW w:w="1809" w:type="dxa"/>
            <w:vMerge w:val="continue"/>
            <w:tcBorders>
              <w:bottom w:val="nil"/>
            </w:tcBorders>
            <w:shd w:val="clear" w:color="auto" w:fill="ADB9CA" w:themeFill="text2" w:themeFillTint="66"/>
            <w:vAlign w:val="center"/>
          </w:tcPr>
          <w:p w14:paraId="419E38B5">
            <w:pPr>
              <w:pageBreakBefore w:val="0"/>
              <w:kinsoku/>
              <w:overflowPunct/>
              <w:topLinePunct w:val="0"/>
              <w:bidi w:val="0"/>
              <w:adjustRightInd w:val="0"/>
              <w:snapToGrid w:val="0"/>
              <w:spacing w:line="360" w:lineRule="exact"/>
              <w:jc w:val="center"/>
              <w:rPr>
                <w:rFonts w:hint="eastAsia" w:asciiTheme="minorEastAsia" w:hAnsiTheme="minorEastAsia" w:eastAsiaTheme="minorEastAsia" w:cstheme="minorEastAsia"/>
                <w:sz w:val="20"/>
                <w:szCs w:val="20"/>
                <w:highlight w:val="none"/>
              </w:rPr>
            </w:pPr>
          </w:p>
        </w:tc>
        <w:tc>
          <w:tcPr>
            <w:tcW w:w="2617" w:type="dxa"/>
            <w:vMerge w:val="continue"/>
            <w:tcBorders>
              <w:bottom w:val="nil"/>
            </w:tcBorders>
            <w:shd w:val="clear" w:color="auto" w:fill="ADB9CA" w:themeFill="text2" w:themeFillTint="66"/>
            <w:vAlign w:val="center"/>
          </w:tcPr>
          <w:p w14:paraId="4376B428">
            <w:pPr>
              <w:pageBreakBefore w:val="0"/>
              <w:kinsoku/>
              <w:overflowPunct/>
              <w:topLinePunct w:val="0"/>
              <w:bidi w:val="0"/>
              <w:adjustRightInd w:val="0"/>
              <w:snapToGrid w:val="0"/>
              <w:spacing w:line="360" w:lineRule="exact"/>
              <w:rPr>
                <w:rFonts w:hint="eastAsia" w:asciiTheme="minorEastAsia" w:hAnsiTheme="minorEastAsia" w:eastAsiaTheme="minorEastAsia" w:cstheme="minorEastAsia"/>
                <w:sz w:val="20"/>
                <w:szCs w:val="20"/>
                <w:highlight w:val="none"/>
              </w:rPr>
            </w:pPr>
          </w:p>
        </w:tc>
      </w:tr>
    </w:tbl>
    <w:p w14:paraId="4B973BB5">
      <w:pPr>
        <w:pageBreakBefore w:val="0"/>
        <w:widowControl/>
        <w:numPr>
          <w:ilvl w:val="-1"/>
          <w:numId w:val="0"/>
        </w:numPr>
        <w:kinsoku/>
        <w:overflowPunct/>
        <w:topLinePunct w:val="0"/>
        <w:bidi w:val="0"/>
        <w:spacing w:before="312" w:beforeLines="100" w:after="312" w:afterLines="100" w:line="440" w:lineRule="exact"/>
        <w:ind w:left="0" w:firstLine="0"/>
        <w:jc w:val="left"/>
        <w:outlineLvl w:val="0"/>
        <w:rPr>
          <w:rFonts w:ascii="Times New Roman" w:hAnsi="Times New Roman" w:eastAsia="宋体"/>
          <w:b/>
          <w:kern w:val="0"/>
          <w:sz w:val="24"/>
          <w:szCs w:val="24"/>
          <w:highlight w:val="none"/>
        </w:rPr>
      </w:pPr>
    </w:p>
    <w:p w14:paraId="4ACEB82F">
      <w:pPr>
        <w:pStyle w:val="21"/>
      </w:pPr>
    </w:p>
    <w:p w14:paraId="2AD67DBA">
      <w:pPr>
        <w:pStyle w:val="23"/>
        <w:spacing w:line="360" w:lineRule="auto"/>
        <w:jc w:val="both"/>
        <w:outlineLvl w:val="1"/>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5.</w:t>
      </w:r>
      <w:r>
        <w:rPr>
          <w:rFonts w:hint="eastAsia" w:asciiTheme="minorEastAsia" w:hAnsiTheme="minorEastAsia" w:eastAsiaTheme="minorEastAsia" w:cstheme="minorEastAsia"/>
          <w:b/>
          <w:bCs/>
          <w:sz w:val="28"/>
          <w:szCs w:val="28"/>
          <w:lang w:val="en-US" w:eastAsia="zh-CN"/>
        </w:rPr>
        <w:t>4 评估方法与结论</w:t>
      </w:r>
    </w:p>
    <w:p w14:paraId="7DE97EDD">
      <w:pPr>
        <w:snapToGrid w:val="0"/>
        <w:spacing w:line="360" w:lineRule="auto"/>
        <w:ind w:firstLine="560" w:firstLineChars="20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本标准</w:t>
      </w:r>
      <w:r>
        <w:rPr>
          <w:rFonts w:hint="eastAsia" w:cs="仿宋" w:asciiTheme="minorEastAsia" w:hAnsiTheme="minorEastAsia" w:eastAsiaTheme="minorEastAsia"/>
          <w:sz w:val="28"/>
          <w:szCs w:val="28"/>
        </w:rPr>
        <w:t>采用问卷调查、文件查阅、人员访谈和行为观察四种方式</w:t>
      </w:r>
      <w:r>
        <w:rPr>
          <w:rFonts w:hint="eastAsia" w:cs="仿宋" w:asciiTheme="minorEastAsia" w:hAnsiTheme="minorEastAsia" w:eastAsiaTheme="minorEastAsia"/>
          <w:sz w:val="28"/>
          <w:szCs w:val="28"/>
          <w:lang w:eastAsia="zh-CN"/>
        </w:rPr>
        <w:t>，</w:t>
      </w:r>
      <w:r>
        <w:rPr>
          <w:rFonts w:hint="eastAsia" w:cs="仿宋" w:asciiTheme="minorEastAsia" w:hAnsiTheme="minorEastAsia" w:eastAsiaTheme="minorEastAsia"/>
          <w:sz w:val="28"/>
          <w:szCs w:val="28"/>
          <w:lang w:val="en-US" w:eastAsia="zh-CN"/>
        </w:rPr>
        <w:t>尽量收集每个评估要素足够多的的案例数据，对照评分标准对案例逐个进行定量打分和等级判定，根据要素和特征权重，逐级计算要素得分和评估总体评分。</w:t>
      </w:r>
    </w:p>
    <w:p w14:paraId="5DCD8646">
      <w:pPr>
        <w:numPr>
          <w:ilvl w:val="-1"/>
          <w:numId w:val="0"/>
        </w:numPr>
        <w:snapToGrid w:val="0"/>
        <w:spacing w:line="360" w:lineRule="auto"/>
        <w:ind w:left="0" w:leftChars="0" w:firstLine="560" w:firstLineChars="20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按照最终总体评分结果（以下简称“H”），便可得出被评估单位的核安全文化的整体评估等级，共分为卓越级、健康级、亚健康级、临界级、匮乏级五个等级，各个等级状态说明如下：</w:t>
      </w:r>
    </w:p>
    <w:p w14:paraId="082049A4">
      <w:pPr>
        <w:numPr>
          <w:ilvl w:val="0"/>
          <w:numId w:val="5"/>
        </w:numPr>
        <w:snapToGrid w:val="0"/>
        <w:spacing w:line="360" w:lineRule="auto"/>
        <w:ind w:left="840" w:leftChars="0" w:hanging="420" w:firstLineChars="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卓越级（90≤H≤100）：核安全文化建设及运行卓越，全部要素表现优异，成为核电行业标杆。</w:t>
      </w:r>
    </w:p>
    <w:p w14:paraId="26B4FFCF">
      <w:pPr>
        <w:numPr>
          <w:ilvl w:val="0"/>
          <w:numId w:val="5"/>
        </w:numPr>
        <w:snapToGrid w:val="0"/>
        <w:spacing w:line="360" w:lineRule="auto"/>
        <w:ind w:left="840" w:leftChars="0" w:hanging="420" w:firstLineChars="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健康级（80≤H＜90）：核安全文化建设及运行良好，形成了具有特色的核安全文化实践，但个别要素存在改进空间。</w:t>
      </w:r>
    </w:p>
    <w:p w14:paraId="03940F4E">
      <w:pPr>
        <w:numPr>
          <w:ilvl w:val="0"/>
          <w:numId w:val="5"/>
        </w:numPr>
        <w:snapToGrid w:val="0"/>
        <w:spacing w:line="360" w:lineRule="auto"/>
        <w:ind w:left="840" w:leftChars="0" w:hanging="420" w:firstLineChars="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亚健康级（70≤H＜80）：核安全文化建设及运行比较稳定，但部分要素存在表现较弱。</w:t>
      </w:r>
    </w:p>
    <w:p w14:paraId="021B4356">
      <w:pPr>
        <w:numPr>
          <w:ilvl w:val="0"/>
          <w:numId w:val="5"/>
        </w:numPr>
        <w:snapToGrid w:val="0"/>
        <w:spacing w:line="360" w:lineRule="auto"/>
        <w:ind w:left="840" w:leftChars="0" w:hanging="420" w:firstLineChars="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临界级（60≤H＜70）：核安全文化建设及运行水平较低，多个特征表现较弱，部分要素需要重点改进。</w:t>
      </w:r>
    </w:p>
    <w:p w14:paraId="713F8C0D">
      <w:pPr>
        <w:numPr>
          <w:ilvl w:val="0"/>
          <w:numId w:val="5"/>
        </w:numPr>
        <w:snapToGrid w:val="0"/>
        <w:spacing w:line="360" w:lineRule="auto"/>
        <w:ind w:left="840" w:leftChars="0" w:hanging="420" w:firstLineChars="0"/>
        <w:rPr>
          <w:rFonts w:cs="仿宋" w:asciiTheme="minorEastAsia" w:hAnsiTheme="minorEastAsia" w:eastAsiaTheme="minorEastAsia"/>
          <w:sz w:val="24"/>
          <w:szCs w:val="24"/>
        </w:rPr>
      </w:pPr>
      <w:r>
        <w:rPr>
          <w:rFonts w:hint="eastAsia" w:cs="仿宋" w:asciiTheme="minorEastAsia" w:hAnsiTheme="minorEastAsia" w:eastAsiaTheme="minorEastAsia"/>
          <w:sz w:val="28"/>
          <w:szCs w:val="28"/>
          <w:lang w:val="en-US" w:eastAsia="zh-CN"/>
        </w:rPr>
        <w:t>匮乏级（H＜60）：核安全文化建设处于起步状态，运行水平极低，需要系统改进。</w:t>
      </w:r>
    </w:p>
    <w:p w14:paraId="62CBFC4A">
      <w:pPr>
        <w:pStyle w:val="21"/>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 xml:space="preserve">5.5 </w:t>
      </w:r>
      <w:r>
        <w:rPr>
          <w:rFonts w:hint="eastAsia" w:asciiTheme="minorEastAsia" w:hAnsiTheme="minorEastAsia" w:eastAsiaTheme="minorEastAsia" w:cstheme="minorEastAsia"/>
          <w:b/>
          <w:bCs/>
          <w:sz w:val="28"/>
          <w:szCs w:val="28"/>
          <w:lang w:val="en-US" w:eastAsia="zh-CN"/>
        </w:rPr>
        <w:t>评估流程</w:t>
      </w:r>
    </w:p>
    <w:p w14:paraId="24B40FFA">
      <w:pPr>
        <w:snapToGrid w:val="0"/>
        <w:spacing w:line="360" w:lineRule="auto"/>
        <w:ind w:firstLine="560" w:firstLineChars="200"/>
        <w:rPr>
          <w:rFonts w:hint="eastAsia" w:cs="仿宋" w:asciiTheme="minorEastAsia" w:hAnsiTheme="minorEastAsia" w:eastAsiaTheme="minorEastAsia"/>
          <w:sz w:val="28"/>
          <w:szCs w:val="28"/>
          <w:lang w:val="en-US" w:eastAsia="zh-CN"/>
        </w:rPr>
      </w:pPr>
      <w:r>
        <w:rPr>
          <w:rFonts w:hint="eastAsia" w:cs="仿宋" w:asciiTheme="minorEastAsia" w:hAnsiTheme="minorEastAsia" w:eastAsiaTheme="minorEastAsia"/>
          <w:sz w:val="28"/>
          <w:szCs w:val="28"/>
          <w:lang w:val="en-US" w:eastAsia="zh-CN"/>
        </w:rPr>
        <w:t>标准规定了评估启动、评估准备、现场评估、评估改进等评估活动组织实施的主要环节。</w:t>
      </w:r>
    </w:p>
    <w:p w14:paraId="29F5FF70">
      <w:pPr>
        <w:pStyle w:val="21"/>
        <w:ind w:firstLine="560" w:firstLineChars="200"/>
        <w:rPr>
          <w:rFonts w:hint="eastAsia" w:cs="仿宋" w:asciiTheme="minorEastAsia" w:hAnsiTheme="minorEastAsia" w:eastAsiaTheme="minorEastAsia"/>
          <w:b w:val="0"/>
          <w:bCs w:val="0"/>
          <w:sz w:val="28"/>
          <w:szCs w:val="28"/>
          <w:lang w:val="en-US" w:eastAsia="zh-CN"/>
        </w:rPr>
      </w:pPr>
      <w:r>
        <w:rPr>
          <w:rFonts w:hint="eastAsia" w:cs="仿宋" w:asciiTheme="minorEastAsia" w:hAnsiTheme="minorEastAsia" w:eastAsiaTheme="minorEastAsia"/>
          <w:b w:val="0"/>
          <w:bCs w:val="0"/>
          <w:sz w:val="28"/>
          <w:szCs w:val="28"/>
          <w:lang w:val="en-US" w:eastAsia="zh-CN"/>
        </w:rPr>
        <w:t>评估启动主要包括</w:t>
      </w:r>
      <w:r>
        <w:rPr>
          <w:rFonts w:hint="eastAsia" w:cs="仿宋" w:asciiTheme="minorEastAsia" w:hAnsiTheme="minorEastAsia"/>
          <w:b w:val="0"/>
          <w:bCs w:val="0"/>
          <w:sz w:val="28"/>
          <w:szCs w:val="28"/>
          <w:lang w:val="en-US" w:eastAsia="zh-CN"/>
        </w:rPr>
        <w:t>：企业</w:t>
      </w:r>
      <w:r>
        <w:rPr>
          <w:rFonts w:hint="eastAsia" w:cs="仿宋" w:asciiTheme="minorEastAsia" w:hAnsiTheme="minorEastAsia" w:eastAsiaTheme="minorEastAsia"/>
          <w:b w:val="0"/>
          <w:bCs w:val="0"/>
          <w:sz w:val="28"/>
          <w:szCs w:val="28"/>
          <w:lang w:val="en-US" w:eastAsia="zh-CN"/>
        </w:rPr>
        <w:t>根据自身的核安全文化建设计划启动</w:t>
      </w:r>
      <w:r>
        <w:rPr>
          <w:rFonts w:hint="eastAsia" w:cs="仿宋" w:asciiTheme="minorEastAsia" w:hAnsiTheme="minorEastAsia"/>
          <w:b w:val="0"/>
          <w:bCs w:val="0"/>
          <w:sz w:val="28"/>
          <w:szCs w:val="28"/>
          <w:lang w:val="en-US" w:eastAsia="zh-CN"/>
        </w:rPr>
        <w:t>；</w:t>
      </w:r>
      <w:r>
        <w:rPr>
          <w:rFonts w:hint="eastAsia" w:cs="仿宋" w:asciiTheme="minorEastAsia" w:hAnsiTheme="minorEastAsia" w:eastAsiaTheme="minorEastAsia"/>
          <w:b w:val="0"/>
          <w:bCs w:val="0"/>
          <w:sz w:val="28"/>
          <w:szCs w:val="28"/>
          <w:lang w:val="en-US" w:eastAsia="zh-CN"/>
        </w:rPr>
        <w:t>发生重大质量和安全问题，</w:t>
      </w:r>
      <w:r>
        <w:rPr>
          <w:rFonts w:hint="eastAsia" w:cs="仿宋" w:asciiTheme="minorEastAsia" w:hAnsiTheme="minorEastAsia"/>
          <w:b w:val="0"/>
          <w:bCs w:val="0"/>
          <w:sz w:val="28"/>
          <w:szCs w:val="28"/>
          <w:lang w:val="en-US" w:eastAsia="zh-CN"/>
        </w:rPr>
        <w:t>暴露出</w:t>
      </w:r>
      <w:r>
        <w:rPr>
          <w:rFonts w:hint="eastAsia" w:cs="仿宋" w:asciiTheme="minorEastAsia" w:hAnsiTheme="minorEastAsia" w:eastAsiaTheme="minorEastAsia"/>
          <w:b w:val="0"/>
          <w:bCs w:val="0"/>
          <w:sz w:val="28"/>
          <w:szCs w:val="28"/>
          <w:lang w:val="en-US" w:eastAsia="zh-CN"/>
        </w:rPr>
        <w:t>出核安全文化存在明显弱化</w:t>
      </w:r>
      <w:r>
        <w:rPr>
          <w:rFonts w:hint="eastAsia" w:cs="仿宋" w:asciiTheme="minorEastAsia" w:hAnsiTheme="minorEastAsia"/>
          <w:b w:val="0"/>
          <w:bCs w:val="0"/>
          <w:sz w:val="28"/>
          <w:szCs w:val="28"/>
          <w:lang w:val="en-US" w:eastAsia="zh-CN"/>
        </w:rPr>
        <w:t>问题</w:t>
      </w:r>
      <w:r>
        <w:rPr>
          <w:rFonts w:hint="eastAsia" w:cs="仿宋" w:asciiTheme="minorEastAsia" w:hAnsiTheme="minorEastAsia" w:eastAsiaTheme="minorEastAsia"/>
          <w:b w:val="0"/>
          <w:bCs w:val="0"/>
          <w:sz w:val="28"/>
          <w:szCs w:val="28"/>
          <w:lang w:val="en-US" w:eastAsia="zh-CN"/>
        </w:rPr>
        <w:t>时</w:t>
      </w:r>
      <w:r>
        <w:rPr>
          <w:rFonts w:hint="eastAsia" w:cs="仿宋" w:asciiTheme="minorEastAsia" w:hAnsiTheme="minorEastAsia"/>
          <w:b w:val="0"/>
          <w:bCs w:val="0"/>
          <w:sz w:val="28"/>
          <w:szCs w:val="28"/>
          <w:lang w:val="en-US" w:eastAsia="zh-CN"/>
        </w:rPr>
        <w:t>随机启动；也可</w:t>
      </w:r>
      <w:r>
        <w:rPr>
          <w:rFonts w:hint="eastAsia" w:cs="仿宋" w:asciiTheme="minorEastAsia" w:hAnsiTheme="minorEastAsia" w:eastAsiaTheme="minorEastAsia"/>
          <w:b w:val="0"/>
          <w:bCs w:val="0"/>
          <w:sz w:val="28"/>
          <w:szCs w:val="28"/>
          <w:lang w:val="en-US" w:eastAsia="zh-CN"/>
        </w:rPr>
        <w:t>根据有关政府部门或上级管理部门提出的监督管理要求</w:t>
      </w:r>
      <w:r>
        <w:rPr>
          <w:rFonts w:hint="eastAsia" w:cs="仿宋" w:asciiTheme="minorEastAsia" w:hAnsiTheme="minorEastAsia"/>
          <w:b w:val="0"/>
          <w:bCs w:val="0"/>
          <w:sz w:val="28"/>
          <w:szCs w:val="28"/>
          <w:lang w:val="en-US" w:eastAsia="zh-CN"/>
        </w:rPr>
        <w:t>或建议</w:t>
      </w:r>
      <w:r>
        <w:rPr>
          <w:rFonts w:hint="eastAsia" w:cs="仿宋" w:asciiTheme="minorEastAsia" w:hAnsiTheme="minorEastAsia" w:eastAsiaTheme="minorEastAsia"/>
          <w:b w:val="0"/>
          <w:bCs w:val="0"/>
          <w:sz w:val="28"/>
          <w:szCs w:val="28"/>
          <w:lang w:val="en-US" w:eastAsia="zh-CN"/>
        </w:rPr>
        <w:t>启动。</w:t>
      </w:r>
    </w:p>
    <w:p w14:paraId="6FE90F33">
      <w:pPr>
        <w:pStyle w:val="21"/>
        <w:ind w:firstLine="560" w:firstLineChars="200"/>
        <w:rPr>
          <w:rFonts w:hint="eastAsia" w:cs="仿宋" w:asciiTheme="minorEastAsia" w:hAnsiTheme="minorEastAsia"/>
          <w:sz w:val="28"/>
          <w:szCs w:val="28"/>
          <w:lang w:val="en-US" w:eastAsia="zh-CN"/>
        </w:rPr>
      </w:pPr>
      <w:r>
        <w:rPr>
          <w:rFonts w:hint="eastAsia" w:cs="仿宋" w:asciiTheme="minorEastAsia" w:hAnsiTheme="minorEastAsia"/>
          <w:sz w:val="28"/>
          <w:szCs w:val="28"/>
          <w:lang w:val="en-US" w:eastAsia="zh-CN"/>
        </w:rPr>
        <w:t>评估准备包括组建评估团队、开展问卷调查、收集基础信息、开展评估培训等。</w:t>
      </w:r>
    </w:p>
    <w:p w14:paraId="6C285857">
      <w:pPr>
        <w:pStyle w:val="21"/>
        <w:ind w:firstLine="560" w:firstLineChars="200"/>
        <w:rPr>
          <w:rFonts w:hint="default" w:cs="仿宋" w:asciiTheme="minorEastAsia" w:hAnsiTheme="minorEastAsia"/>
          <w:sz w:val="28"/>
          <w:szCs w:val="28"/>
          <w:lang w:val="en-US" w:eastAsia="zh-CN"/>
        </w:rPr>
      </w:pPr>
      <w:r>
        <w:rPr>
          <w:rFonts w:hint="eastAsia" w:cs="仿宋" w:asciiTheme="minorEastAsia" w:hAnsiTheme="minorEastAsia"/>
          <w:sz w:val="28"/>
          <w:szCs w:val="28"/>
          <w:lang w:val="en-US" w:eastAsia="zh-CN"/>
        </w:rPr>
        <w:t>现场评估包括使用不同评估方法、对评估信息的综合评价、评估会议以及评估报告的要求等作出规定。</w:t>
      </w:r>
    </w:p>
    <w:p w14:paraId="4C573B55">
      <w:pPr>
        <w:pStyle w:val="21"/>
        <w:ind w:firstLine="560" w:firstLineChars="200"/>
        <w:rPr>
          <w:rFonts w:hint="default" w:cs="仿宋" w:asciiTheme="minorEastAsia" w:hAnsiTheme="minorEastAsia" w:eastAsiaTheme="minorEastAsia"/>
          <w:sz w:val="28"/>
          <w:szCs w:val="28"/>
          <w:lang w:val="en-US" w:eastAsia="zh-CN"/>
        </w:rPr>
      </w:pPr>
      <w:r>
        <w:rPr>
          <w:rFonts w:hint="eastAsia" w:cs="仿宋" w:asciiTheme="minorEastAsia" w:hAnsiTheme="minorEastAsia"/>
          <w:sz w:val="28"/>
          <w:szCs w:val="28"/>
          <w:lang w:val="en-US" w:eastAsia="zh-CN"/>
        </w:rPr>
        <w:t>评估改进就制定评估改进计划以及如何有效落实做出了规定。</w:t>
      </w:r>
    </w:p>
    <w:p w14:paraId="39160723">
      <w:pPr>
        <w:pStyle w:val="21"/>
        <w:snapToGrid w:val="0"/>
        <w:spacing w:line="360" w:lineRule="auto"/>
        <w:ind w:left="0" w:leftChars="0" w:firstLineChars="0"/>
        <w:outlineLvl w:val="0"/>
        <w:rPr>
          <w:rFonts w:hint="eastAsia" w:asciiTheme="minorEastAsia" w:hAnsiTheme="minorEastAsia" w:eastAsiaTheme="minorEastAsia" w:cstheme="minorEastAsia"/>
          <w:b/>
          <w:bCs/>
          <w:kern w:val="2"/>
          <w:sz w:val="28"/>
          <w:szCs w:val="28"/>
          <w:lang w:val="en-US" w:eastAsia="zh-CN" w:bidi="ar-SA"/>
        </w:rPr>
      </w:pPr>
      <w:bookmarkStart w:id="8" w:name="_Toc512001736"/>
      <w:bookmarkStart w:id="9" w:name="_Toc6478"/>
      <w:r>
        <w:rPr>
          <w:rFonts w:hint="eastAsia" w:asciiTheme="minorEastAsia" w:hAnsiTheme="minorEastAsia" w:eastAsiaTheme="minorEastAsia" w:cstheme="minorEastAsia"/>
          <w:b/>
          <w:bCs/>
          <w:sz w:val="28"/>
          <w:szCs w:val="28"/>
          <w:lang w:val="en-US" w:eastAsia="zh-CN"/>
        </w:rPr>
        <w:t>6、</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28"/>
          <w:szCs w:val="28"/>
          <w:lang w:val="en-US" w:eastAsia="zh-CN"/>
        </w:rPr>
        <w:t>实施建议</w:t>
      </w:r>
      <w:bookmarkEnd w:id="8"/>
      <w:bookmarkEnd w:id="9"/>
    </w:p>
    <w:p w14:paraId="4351624C">
      <w:pPr>
        <w:snapToGrid w:val="0"/>
        <w:spacing w:line="360" w:lineRule="auto"/>
        <w:ind w:firstLine="560" w:firstLineChars="200"/>
        <w:rPr>
          <w:rFonts w:hint="eastAsia" w:eastAsiaTheme="minorEastAsia"/>
          <w:b/>
          <w:bCs/>
          <w:lang w:val="en-US" w:eastAsia="zh-CN"/>
        </w:rPr>
      </w:pPr>
      <w:r>
        <w:rPr>
          <w:rFonts w:hint="eastAsia" w:cs="仿宋" w:asciiTheme="minorEastAsia" w:hAnsiTheme="minorEastAsia" w:eastAsiaTheme="minorEastAsia"/>
          <w:sz w:val="28"/>
          <w:szCs w:val="28"/>
          <w:lang w:val="en-US" w:eastAsia="zh-CN"/>
        </w:rPr>
        <w:t>本标准既适用于民用核安全设备单位的核安全文化评估，也可供相关单位组织开展核安全文化独立评估或自评估时参考，但在评估开始前，建议对评估成员开展标准的宣贯与培训，确保标准使用者能够正确理解和使用本标准，统一评估尺度。同时，鼓励为核电站提供设备的企业将本标准作为自我评估和改进核安全文化的工具之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BF74A">
    <w:pPr>
      <w:pStyle w:val="9"/>
      <w:tabs>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D4237">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0D53A1">
                          <w:pPr>
                            <w:pStyle w:val="9"/>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ANGImMQIAAGMEAAAOAAAAAAAAAAEAIAAAAB8BAABkcnMvZTJvRG9jLnhtbFBLBQYA&#10;AAAABgAGAFkBAADCBQAAAAA=&#10;">
              <v:fill on="f" focussize="0,0"/>
              <v:stroke on="f" weight="0.5pt"/>
              <v:imagedata o:title=""/>
              <o:lock v:ext="edit" aspectratio="f"/>
              <v:textbox inset="0mm,0mm,0mm,0mm" style="mso-fit-shape-to-text:t;">
                <w:txbxContent>
                  <w:p w14:paraId="150D53A1">
                    <w:pPr>
                      <w:pStyle w:val="9"/>
                    </w:pPr>
                    <w:r>
                      <w:fldChar w:fldCharType="begin"/>
                    </w:r>
                    <w:r>
                      <w:instrText xml:space="preserve"> PAGE  \* MERGEFORMAT </w:instrText>
                    </w:r>
                    <w:r>
                      <w:fldChar w:fldCharType="separate"/>
                    </w:r>
                    <w:r>
                      <w:t>19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6B1306"/>
    <w:multiLevelType w:val="singleLevel"/>
    <w:tmpl w:val="C66B1306"/>
    <w:lvl w:ilvl="0" w:tentative="0">
      <w:start w:val="1"/>
      <w:numFmt w:val="decimal"/>
      <w:lvlText w:val="(%1)"/>
      <w:lvlJc w:val="left"/>
      <w:pPr>
        <w:ind w:left="1055" w:hanging="425"/>
      </w:pPr>
      <w:rPr>
        <w:rFonts w:hint="default"/>
      </w:rPr>
    </w:lvl>
  </w:abstractNum>
  <w:abstractNum w:abstractNumId="1">
    <w:nsid w:val="CFAFE1A4"/>
    <w:multiLevelType w:val="singleLevel"/>
    <w:tmpl w:val="CFAFE1A4"/>
    <w:lvl w:ilvl="0" w:tentative="0">
      <w:start w:val="1"/>
      <w:numFmt w:val="decimal"/>
      <w:suff w:val="nothing"/>
      <w:lvlText w:val="（%1）"/>
      <w:lvlJc w:val="left"/>
    </w:lvl>
  </w:abstractNum>
  <w:abstractNum w:abstractNumId="2">
    <w:nsid w:val="22F29EAF"/>
    <w:multiLevelType w:val="singleLevel"/>
    <w:tmpl w:val="22F29EAF"/>
    <w:lvl w:ilvl="0" w:tentative="0">
      <w:start w:val="1"/>
      <w:numFmt w:val="bullet"/>
      <w:lvlText w:val=""/>
      <w:lvlJc w:val="left"/>
      <w:pPr>
        <w:ind w:left="1050" w:hanging="420"/>
      </w:pPr>
      <w:rPr>
        <w:rFonts w:hint="default" w:ascii="Wingdings" w:hAnsi="Wingdings"/>
      </w:rPr>
    </w:lvl>
  </w:abstractNum>
  <w:abstractNum w:abstractNumId="3">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142" w:firstLine="0"/>
      </w:pPr>
      <w:rPr>
        <w:rFonts w:hint="eastAsia" w:ascii="黑体" w:eastAsia="黑体"/>
        <w:b w:val="0"/>
        <w:i w:val="0"/>
        <w:sz w:val="21"/>
      </w:rPr>
    </w:lvl>
    <w:lvl w:ilvl="2" w:tentative="0">
      <w:start w:val="1"/>
      <w:numFmt w:val="decimal"/>
      <w:suff w:val="nothing"/>
      <w:lvlText w:val="%1%2.%3　"/>
      <w:lvlJc w:val="left"/>
      <w:pPr>
        <w:ind w:left="2"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27"/>
      <w:suff w:val="nothing"/>
      <w:lvlText w:val="%1%2.%3.%4　"/>
      <w:lvlJc w:val="left"/>
      <w:pPr>
        <w:ind w:left="1135"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7398CEF5"/>
    <w:multiLevelType w:val="singleLevel"/>
    <w:tmpl w:val="7398CEF5"/>
    <w:lvl w:ilvl="0" w:tentative="0">
      <w:start w:val="1"/>
      <w:numFmt w:val="bullet"/>
      <w:lvlText w:val=""/>
      <w:lvlJc w:val="left"/>
      <w:pPr>
        <w:ind w:left="840" w:hanging="420"/>
      </w:pPr>
      <w:rPr>
        <w:rFonts w:hint="default" w:ascii="Wingdings" w:hAnsi="Wingdings"/>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5MTNlMjk5ODc5NTJkMDVhZGE1MGIxNjdkYzgzOGIifQ=="/>
    <w:docVar w:name="KSO_WPS_MARK_KEY" w:val="b5ff4afe-2593-47d9-9b2d-dceecb6217c3"/>
  </w:docVars>
  <w:rsids>
    <w:rsidRoot w:val="00F44807"/>
    <w:rsid w:val="00030A01"/>
    <w:rsid w:val="000401AF"/>
    <w:rsid w:val="00040C3C"/>
    <w:rsid w:val="000462EE"/>
    <w:rsid w:val="00050A1C"/>
    <w:rsid w:val="0005546F"/>
    <w:rsid w:val="000571F9"/>
    <w:rsid w:val="00060C64"/>
    <w:rsid w:val="00062CB8"/>
    <w:rsid w:val="0006653F"/>
    <w:rsid w:val="0006654E"/>
    <w:rsid w:val="000667E1"/>
    <w:rsid w:val="00076677"/>
    <w:rsid w:val="00081AE9"/>
    <w:rsid w:val="00083ADC"/>
    <w:rsid w:val="000864A0"/>
    <w:rsid w:val="00094136"/>
    <w:rsid w:val="000961B6"/>
    <w:rsid w:val="000A2644"/>
    <w:rsid w:val="000A3435"/>
    <w:rsid w:val="000B0722"/>
    <w:rsid w:val="000B0876"/>
    <w:rsid w:val="000B572B"/>
    <w:rsid w:val="000B59B1"/>
    <w:rsid w:val="000B623A"/>
    <w:rsid w:val="000C2C8A"/>
    <w:rsid w:val="000C4C9D"/>
    <w:rsid w:val="000F2820"/>
    <w:rsid w:val="000F5D4B"/>
    <w:rsid w:val="000F7435"/>
    <w:rsid w:val="00102FDB"/>
    <w:rsid w:val="00113669"/>
    <w:rsid w:val="00117556"/>
    <w:rsid w:val="00117B0A"/>
    <w:rsid w:val="0012685B"/>
    <w:rsid w:val="001326E0"/>
    <w:rsid w:val="00133B54"/>
    <w:rsid w:val="00134DEC"/>
    <w:rsid w:val="00140C1F"/>
    <w:rsid w:val="001451B4"/>
    <w:rsid w:val="00160C2E"/>
    <w:rsid w:val="0017264D"/>
    <w:rsid w:val="00185F9C"/>
    <w:rsid w:val="0019062A"/>
    <w:rsid w:val="001923F3"/>
    <w:rsid w:val="00194CDA"/>
    <w:rsid w:val="00196373"/>
    <w:rsid w:val="0019640F"/>
    <w:rsid w:val="001A40FC"/>
    <w:rsid w:val="001A5452"/>
    <w:rsid w:val="001B7424"/>
    <w:rsid w:val="001C63A1"/>
    <w:rsid w:val="001D3323"/>
    <w:rsid w:val="001D55D1"/>
    <w:rsid w:val="001E03AD"/>
    <w:rsid w:val="001E115C"/>
    <w:rsid w:val="001E136F"/>
    <w:rsid w:val="0021696D"/>
    <w:rsid w:val="0022008E"/>
    <w:rsid w:val="0022101D"/>
    <w:rsid w:val="00221471"/>
    <w:rsid w:val="00223AFD"/>
    <w:rsid w:val="00240E2C"/>
    <w:rsid w:val="002445AA"/>
    <w:rsid w:val="00245C03"/>
    <w:rsid w:val="0024674C"/>
    <w:rsid w:val="00283B67"/>
    <w:rsid w:val="00285BA1"/>
    <w:rsid w:val="00292218"/>
    <w:rsid w:val="002963AE"/>
    <w:rsid w:val="002A2965"/>
    <w:rsid w:val="002A5A6F"/>
    <w:rsid w:val="002A7189"/>
    <w:rsid w:val="002A77E2"/>
    <w:rsid w:val="002C49BC"/>
    <w:rsid w:val="002C53D4"/>
    <w:rsid w:val="002C7AB9"/>
    <w:rsid w:val="002D7D76"/>
    <w:rsid w:val="002E2667"/>
    <w:rsid w:val="002F2E3A"/>
    <w:rsid w:val="002F7746"/>
    <w:rsid w:val="0030110A"/>
    <w:rsid w:val="00307A95"/>
    <w:rsid w:val="00313317"/>
    <w:rsid w:val="00316FB7"/>
    <w:rsid w:val="00330F05"/>
    <w:rsid w:val="00331D22"/>
    <w:rsid w:val="0036019D"/>
    <w:rsid w:val="00362566"/>
    <w:rsid w:val="0036509E"/>
    <w:rsid w:val="00367449"/>
    <w:rsid w:val="003705BF"/>
    <w:rsid w:val="003807AF"/>
    <w:rsid w:val="003903D3"/>
    <w:rsid w:val="003923D7"/>
    <w:rsid w:val="00395A49"/>
    <w:rsid w:val="003A1E88"/>
    <w:rsid w:val="003A2E22"/>
    <w:rsid w:val="003A69EB"/>
    <w:rsid w:val="003B1CF7"/>
    <w:rsid w:val="003B7213"/>
    <w:rsid w:val="003C0435"/>
    <w:rsid w:val="003C0E4D"/>
    <w:rsid w:val="003C313E"/>
    <w:rsid w:val="003C7440"/>
    <w:rsid w:val="003D110B"/>
    <w:rsid w:val="003E0D86"/>
    <w:rsid w:val="003E2CA7"/>
    <w:rsid w:val="003E3F2A"/>
    <w:rsid w:val="0040571C"/>
    <w:rsid w:val="004107C0"/>
    <w:rsid w:val="0043259C"/>
    <w:rsid w:val="00437218"/>
    <w:rsid w:val="004408A9"/>
    <w:rsid w:val="0044414D"/>
    <w:rsid w:val="00454E2B"/>
    <w:rsid w:val="00472F0B"/>
    <w:rsid w:val="00476092"/>
    <w:rsid w:val="00476EE5"/>
    <w:rsid w:val="004813CA"/>
    <w:rsid w:val="00487CCE"/>
    <w:rsid w:val="004906A6"/>
    <w:rsid w:val="0049251B"/>
    <w:rsid w:val="00495BF3"/>
    <w:rsid w:val="004969CF"/>
    <w:rsid w:val="00497981"/>
    <w:rsid w:val="004A0945"/>
    <w:rsid w:val="004A5C67"/>
    <w:rsid w:val="004C0D4E"/>
    <w:rsid w:val="004C7D81"/>
    <w:rsid w:val="004D720B"/>
    <w:rsid w:val="004E5E59"/>
    <w:rsid w:val="004E70B4"/>
    <w:rsid w:val="004F134E"/>
    <w:rsid w:val="004F2FF2"/>
    <w:rsid w:val="004F47F4"/>
    <w:rsid w:val="004F6164"/>
    <w:rsid w:val="00500FF4"/>
    <w:rsid w:val="00504B02"/>
    <w:rsid w:val="00517D48"/>
    <w:rsid w:val="0052133D"/>
    <w:rsid w:val="00524A71"/>
    <w:rsid w:val="005317F4"/>
    <w:rsid w:val="00534272"/>
    <w:rsid w:val="005369A2"/>
    <w:rsid w:val="00544901"/>
    <w:rsid w:val="005505EC"/>
    <w:rsid w:val="00550C29"/>
    <w:rsid w:val="005513D0"/>
    <w:rsid w:val="005569D0"/>
    <w:rsid w:val="00563F80"/>
    <w:rsid w:val="005670DB"/>
    <w:rsid w:val="005704D6"/>
    <w:rsid w:val="005707A3"/>
    <w:rsid w:val="00586FA7"/>
    <w:rsid w:val="005939AA"/>
    <w:rsid w:val="005A4D05"/>
    <w:rsid w:val="005B02C5"/>
    <w:rsid w:val="005B2E24"/>
    <w:rsid w:val="005B32E1"/>
    <w:rsid w:val="005B3830"/>
    <w:rsid w:val="005C01DE"/>
    <w:rsid w:val="005C190D"/>
    <w:rsid w:val="005D1C6C"/>
    <w:rsid w:val="005D3029"/>
    <w:rsid w:val="005D322C"/>
    <w:rsid w:val="005F0D89"/>
    <w:rsid w:val="005F458A"/>
    <w:rsid w:val="005F6DF3"/>
    <w:rsid w:val="006172AA"/>
    <w:rsid w:val="006253AD"/>
    <w:rsid w:val="006409B0"/>
    <w:rsid w:val="006410EE"/>
    <w:rsid w:val="00652414"/>
    <w:rsid w:val="006560EA"/>
    <w:rsid w:val="00656E8B"/>
    <w:rsid w:val="0066197D"/>
    <w:rsid w:val="006835A9"/>
    <w:rsid w:val="0068441E"/>
    <w:rsid w:val="0068495B"/>
    <w:rsid w:val="006850E9"/>
    <w:rsid w:val="006871BC"/>
    <w:rsid w:val="006B3384"/>
    <w:rsid w:val="006B5536"/>
    <w:rsid w:val="006B661D"/>
    <w:rsid w:val="006C45E0"/>
    <w:rsid w:val="006C5CA2"/>
    <w:rsid w:val="006D2C36"/>
    <w:rsid w:val="006D64FA"/>
    <w:rsid w:val="006E309E"/>
    <w:rsid w:val="006E3895"/>
    <w:rsid w:val="006E5D23"/>
    <w:rsid w:val="006F077D"/>
    <w:rsid w:val="006F4350"/>
    <w:rsid w:val="006F618D"/>
    <w:rsid w:val="007041D3"/>
    <w:rsid w:val="007134B0"/>
    <w:rsid w:val="0072135F"/>
    <w:rsid w:val="00723D46"/>
    <w:rsid w:val="00724FD3"/>
    <w:rsid w:val="00732568"/>
    <w:rsid w:val="00734B32"/>
    <w:rsid w:val="00747B29"/>
    <w:rsid w:val="00750514"/>
    <w:rsid w:val="00754686"/>
    <w:rsid w:val="00764A35"/>
    <w:rsid w:val="007811A9"/>
    <w:rsid w:val="0078142E"/>
    <w:rsid w:val="007830E3"/>
    <w:rsid w:val="0078544B"/>
    <w:rsid w:val="00795F5B"/>
    <w:rsid w:val="007A7F73"/>
    <w:rsid w:val="007B2954"/>
    <w:rsid w:val="007B386C"/>
    <w:rsid w:val="007B4B14"/>
    <w:rsid w:val="007B5BE7"/>
    <w:rsid w:val="007B6A70"/>
    <w:rsid w:val="007D0C60"/>
    <w:rsid w:val="007D5C74"/>
    <w:rsid w:val="007D7515"/>
    <w:rsid w:val="007E2645"/>
    <w:rsid w:val="007E4A18"/>
    <w:rsid w:val="007F560D"/>
    <w:rsid w:val="007F57A7"/>
    <w:rsid w:val="008038A4"/>
    <w:rsid w:val="008056EC"/>
    <w:rsid w:val="00812531"/>
    <w:rsid w:val="00813661"/>
    <w:rsid w:val="008265F0"/>
    <w:rsid w:val="00830E35"/>
    <w:rsid w:val="00842EB7"/>
    <w:rsid w:val="0085232C"/>
    <w:rsid w:val="00854B24"/>
    <w:rsid w:val="00861C54"/>
    <w:rsid w:val="008764DA"/>
    <w:rsid w:val="0089077F"/>
    <w:rsid w:val="00890D11"/>
    <w:rsid w:val="00893537"/>
    <w:rsid w:val="00895737"/>
    <w:rsid w:val="008A10C2"/>
    <w:rsid w:val="008A1A7B"/>
    <w:rsid w:val="008A1AD2"/>
    <w:rsid w:val="008B5B53"/>
    <w:rsid w:val="008B748A"/>
    <w:rsid w:val="008C0DFC"/>
    <w:rsid w:val="008C67BD"/>
    <w:rsid w:val="008D4030"/>
    <w:rsid w:val="008D4BF2"/>
    <w:rsid w:val="008D5491"/>
    <w:rsid w:val="008D6576"/>
    <w:rsid w:val="008E5F3A"/>
    <w:rsid w:val="008E7ADB"/>
    <w:rsid w:val="008E7CB6"/>
    <w:rsid w:val="008F5E0D"/>
    <w:rsid w:val="008F73F8"/>
    <w:rsid w:val="0090578A"/>
    <w:rsid w:val="009059C9"/>
    <w:rsid w:val="00907999"/>
    <w:rsid w:val="00913071"/>
    <w:rsid w:val="00961ACF"/>
    <w:rsid w:val="00964375"/>
    <w:rsid w:val="00965A3A"/>
    <w:rsid w:val="00967475"/>
    <w:rsid w:val="00970D14"/>
    <w:rsid w:val="00972AB4"/>
    <w:rsid w:val="009834F5"/>
    <w:rsid w:val="009A2A68"/>
    <w:rsid w:val="009A2AFA"/>
    <w:rsid w:val="009A4BD9"/>
    <w:rsid w:val="009B1198"/>
    <w:rsid w:val="009B5B43"/>
    <w:rsid w:val="009B5F91"/>
    <w:rsid w:val="009C6B3F"/>
    <w:rsid w:val="009D0045"/>
    <w:rsid w:val="009D52CE"/>
    <w:rsid w:val="009D676A"/>
    <w:rsid w:val="009E0DD2"/>
    <w:rsid w:val="009E17AB"/>
    <w:rsid w:val="009E2792"/>
    <w:rsid w:val="009E4A9C"/>
    <w:rsid w:val="009E4E68"/>
    <w:rsid w:val="009E68EB"/>
    <w:rsid w:val="009F20E3"/>
    <w:rsid w:val="009F4620"/>
    <w:rsid w:val="009F493B"/>
    <w:rsid w:val="009F575C"/>
    <w:rsid w:val="009F6F13"/>
    <w:rsid w:val="00A067F0"/>
    <w:rsid w:val="00A11BE2"/>
    <w:rsid w:val="00A26B9E"/>
    <w:rsid w:val="00A326D1"/>
    <w:rsid w:val="00A34262"/>
    <w:rsid w:val="00A36DB1"/>
    <w:rsid w:val="00A60E80"/>
    <w:rsid w:val="00A645E0"/>
    <w:rsid w:val="00AB4810"/>
    <w:rsid w:val="00AB77FC"/>
    <w:rsid w:val="00AB7DDD"/>
    <w:rsid w:val="00AD1854"/>
    <w:rsid w:val="00AD4326"/>
    <w:rsid w:val="00AE3C6D"/>
    <w:rsid w:val="00AF05ED"/>
    <w:rsid w:val="00AF1530"/>
    <w:rsid w:val="00AF51DE"/>
    <w:rsid w:val="00AF55BA"/>
    <w:rsid w:val="00B02CE1"/>
    <w:rsid w:val="00B0628C"/>
    <w:rsid w:val="00B1739C"/>
    <w:rsid w:val="00B2541C"/>
    <w:rsid w:val="00B26030"/>
    <w:rsid w:val="00B32858"/>
    <w:rsid w:val="00B4223F"/>
    <w:rsid w:val="00B6318F"/>
    <w:rsid w:val="00B74D7F"/>
    <w:rsid w:val="00B802DC"/>
    <w:rsid w:val="00B876EA"/>
    <w:rsid w:val="00B90FDF"/>
    <w:rsid w:val="00BA53F2"/>
    <w:rsid w:val="00BB3138"/>
    <w:rsid w:val="00BB42A5"/>
    <w:rsid w:val="00BB4401"/>
    <w:rsid w:val="00BC1A58"/>
    <w:rsid w:val="00BC3BB4"/>
    <w:rsid w:val="00BC7DB2"/>
    <w:rsid w:val="00BE0A98"/>
    <w:rsid w:val="00BE21B7"/>
    <w:rsid w:val="00BE6762"/>
    <w:rsid w:val="00BF6C7F"/>
    <w:rsid w:val="00C11248"/>
    <w:rsid w:val="00C12497"/>
    <w:rsid w:val="00C16423"/>
    <w:rsid w:val="00C16C5F"/>
    <w:rsid w:val="00C22540"/>
    <w:rsid w:val="00C3018E"/>
    <w:rsid w:val="00C36A88"/>
    <w:rsid w:val="00C45282"/>
    <w:rsid w:val="00C4675C"/>
    <w:rsid w:val="00C53D25"/>
    <w:rsid w:val="00C61DB8"/>
    <w:rsid w:val="00C63F40"/>
    <w:rsid w:val="00C6657E"/>
    <w:rsid w:val="00C67E54"/>
    <w:rsid w:val="00C77389"/>
    <w:rsid w:val="00C82239"/>
    <w:rsid w:val="00C8525B"/>
    <w:rsid w:val="00C95E22"/>
    <w:rsid w:val="00CB1C49"/>
    <w:rsid w:val="00CB563A"/>
    <w:rsid w:val="00CC0A67"/>
    <w:rsid w:val="00CC3A46"/>
    <w:rsid w:val="00CC7DAB"/>
    <w:rsid w:val="00CE10A8"/>
    <w:rsid w:val="00CE1255"/>
    <w:rsid w:val="00CE591E"/>
    <w:rsid w:val="00CF2CEA"/>
    <w:rsid w:val="00CF422B"/>
    <w:rsid w:val="00D14154"/>
    <w:rsid w:val="00D21A25"/>
    <w:rsid w:val="00D27FFE"/>
    <w:rsid w:val="00D30DA6"/>
    <w:rsid w:val="00D31EB2"/>
    <w:rsid w:val="00D34475"/>
    <w:rsid w:val="00D37185"/>
    <w:rsid w:val="00D43BC5"/>
    <w:rsid w:val="00D4462B"/>
    <w:rsid w:val="00D45455"/>
    <w:rsid w:val="00D51611"/>
    <w:rsid w:val="00D540D8"/>
    <w:rsid w:val="00D63414"/>
    <w:rsid w:val="00D63E8E"/>
    <w:rsid w:val="00D7560F"/>
    <w:rsid w:val="00D87C47"/>
    <w:rsid w:val="00D91483"/>
    <w:rsid w:val="00D92578"/>
    <w:rsid w:val="00D93B8B"/>
    <w:rsid w:val="00D96008"/>
    <w:rsid w:val="00D96550"/>
    <w:rsid w:val="00D97483"/>
    <w:rsid w:val="00DA7D62"/>
    <w:rsid w:val="00DA7DF2"/>
    <w:rsid w:val="00DD1A5E"/>
    <w:rsid w:val="00DE029B"/>
    <w:rsid w:val="00DE2B97"/>
    <w:rsid w:val="00DE3E30"/>
    <w:rsid w:val="00DE4A90"/>
    <w:rsid w:val="00E03C67"/>
    <w:rsid w:val="00E04DF5"/>
    <w:rsid w:val="00E14D10"/>
    <w:rsid w:val="00E32F9F"/>
    <w:rsid w:val="00E37841"/>
    <w:rsid w:val="00E4665C"/>
    <w:rsid w:val="00E51B44"/>
    <w:rsid w:val="00E5408E"/>
    <w:rsid w:val="00E55862"/>
    <w:rsid w:val="00E55FCF"/>
    <w:rsid w:val="00E56E0A"/>
    <w:rsid w:val="00E57FC9"/>
    <w:rsid w:val="00E61E75"/>
    <w:rsid w:val="00E71162"/>
    <w:rsid w:val="00E841B3"/>
    <w:rsid w:val="00E907E2"/>
    <w:rsid w:val="00EA239D"/>
    <w:rsid w:val="00EA748E"/>
    <w:rsid w:val="00EB29B3"/>
    <w:rsid w:val="00EC1EAB"/>
    <w:rsid w:val="00EC20DD"/>
    <w:rsid w:val="00EC389B"/>
    <w:rsid w:val="00ED0A4A"/>
    <w:rsid w:val="00EE14A9"/>
    <w:rsid w:val="00EE5203"/>
    <w:rsid w:val="00EE5E2D"/>
    <w:rsid w:val="00EE6883"/>
    <w:rsid w:val="00F00393"/>
    <w:rsid w:val="00F02089"/>
    <w:rsid w:val="00F03089"/>
    <w:rsid w:val="00F0337C"/>
    <w:rsid w:val="00F05CF5"/>
    <w:rsid w:val="00F12C81"/>
    <w:rsid w:val="00F20B1C"/>
    <w:rsid w:val="00F23139"/>
    <w:rsid w:val="00F2604B"/>
    <w:rsid w:val="00F278F5"/>
    <w:rsid w:val="00F32B48"/>
    <w:rsid w:val="00F364B9"/>
    <w:rsid w:val="00F37FE1"/>
    <w:rsid w:val="00F44807"/>
    <w:rsid w:val="00F463F5"/>
    <w:rsid w:val="00F46533"/>
    <w:rsid w:val="00F5070B"/>
    <w:rsid w:val="00F50FAD"/>
    <w:rsid w:val="00F60CAA"/>
    <w:rsid w:val="00F634B1"/>
    <w:rsid w:val="00F64DB4"/>
    <w:rsid w:val="00F7045E"/>
    <w:rsid w:val="00FA1A29"/>
    <w:rsid w:val="00FB2B3C"/>
    <w:rsid w:val="00FB6BB9"/>
    <w:rsid w:val="00FC06C9"/>
    <w:rsid w:val="00FC4CA3"/>
    <w:rsid w:val="00FC6C2E"/>
    <w:rsid w:val="00FD2BCB"/>
    <w:rsid w:val="00FD5A72"/>
    <w:rsid w:val="00FE2281"/>
    <w:rsid w:val="00FE26BF"/>
    <w:rsid w:val="00FF6CA0"/>
    <w:rsid w:val="00FF6E2C"/>
    <w:rsid w:val="018D4C0A"/>
    <w:rsid w:val="01C04E49"/>
    <w:rsid w:val="01FA5CF3"/>
    <w:rsid w:val="03164BC7"/>
    <w:rsid w:val="04D40B1A"/>
    <w:rsid w:val="05410997"/>
    <w:rsid w:val="057228FE"/>
    <w:rsid w:val="05E80E12"/>
    <w:rsid w:val="062C6F51"/>
    <w:rsid w:val="06330867"/>
    <w:rsid w:val="07693AC4"/>
    <w:rsid w:val="07D209A1"/>
    <w:rsid w:val="089E6786"/>
    <w:rsid w:val="099F6F2D"/>
    <w:rsid w:val="09ED74AA"/>
    <w:rsid w:val="09EE2E66"/>
    <w:rsid w:val="0A3F0720"/>
    <w:rsid w:val="0A860967"/>
    <w:rsid w:val="0CD12600"/>
    <w:rsid w:val="0E363612"/>
    <w:rsid w:val="0E5F7CF3"/>
    <w:rsid w:val="0EA74668"/>
    <w:rsid w:val="10472B42"/>
    <w:rsid w:val="10A06571"/>
    <w:rsid w:val="11F64A4E"/>
    <w:rsid w:val="127A383A"/>
    <w:rsid w:val="13757382"/>
    <w:rsid w:val="15510BAA"/>
    <w:rsid w:val="15CE12F9"/>
    <w:rsid w:val="17A51045"/>
    <w:rsid w:val="19003EBC"/>
    <w:rsid w:val="19C55CC8"/>
    <w:rsid w:val="19ED6746"/>
    <w:rsid w:val="1A6A0524"/>
    <w:rsid w:val="1A7C55D5"/>
    <w:rsid w:val="1AB04593"/>
    <w:rsid w:val="1B173C26"/>
    <w:rsid w:val="1B271217"/>
    <w:rsid w:val="1B776A68"/>
    <w:rsid w:val="1BC85AA0"/>
    <w:rsid w:val="1CA11331"/>
    <w:rsid w:val="1CC0393A"/>
    <w:rsid w:val="1D2313C2"/>
    <w:rsid w:val="1D6F64DC"/>
    <w:rsid w:val="1E5F05F4"/>
    <w:rsid w:val="1F75506D"/>
    <w:rsid w:val="1FED563B"/>
    <w:rsid w:val="202568D9"/>
    <w:rsid w:val="202B292B"/>
    <w:rsid w:val="20B10327"/>
    <w:rsid w:val="20B15F00"/>
    <w:rsid w:val="226A1337"/>
    <w:rsid w:val="22F83FEB"/>
    <w:rsid w:val="23155629"/>
    <w:rsid w:val="23E519B4"/>
    <w:rsid w:val="24262DDA"/>
    <w:rsid w:val="24B33F67"/>
    <w:rsid w:val="252E13E8"/>
    <w:rsid w:val="25B0746F"/>
    <w:rsid w:val="283A07FA"/>
    <w:rsid w:val="289B765D"/>
    <w:rsid w:val="29A832E1"/>
    <w:rsid w:val="29D65D7E"/>
    <w:rsid w:val="2A360EDB"/>
    <w:rsid w:val="2A6331BA"/>
    <w:rsid w:val="2A7C33EB"/>
    <w:rsid w:val="2AA00FB9"/>
    <w:rsid w:val="2B27F89B"/>
    <w:rsid w:val="2B92043C"/>
    <w:rsid w:val="2C066561"/>
    <w:rsid w:val="2C2B6457"/>
    <w:rsid w:val="2C724738"/>
    <w:rsid w:val="2D470A20"/>
    <w:rsid w:val="2E9F4F2E"/>
    <w:rsid w:val="2F48080E"/>
    <w:rsid w:val="2F6D409D"/>
    <w:rsid w:val="2FE130B4"/>
    <w:rsid w:val="306C7DC6"/>
    <w:rsid w:val="31F899C5"/>
    <w:rsid w:val="32097FFD"/>
    <w:rsid w:val="3217342E"/>
    <w:rsid w:val="32A26657"/>
    <w:rsid w:val="330907C6"/>
    <w:rsid w:val="333B7A3B"/>
    <w:rsid w:val="349D7835"/>
    <w:rsid w:val="34F91A90"/>
    <w:rsid w:val="356E7BDC"/>
    <w:rsid w:val="36F468F7"/>
    <w:rsid w:val="37416859"/>
    <w:rsid w:val="3783063C"/>
    <w:rsid w:val="37F71211"/>
    <w:rsid w:val="389C4783"/>
    <w:rsid w:val="38FA1BB8"/>
    <w:rsid w:val="39072D20"/>
    <w:rsid w:val="39D46BEB"/>
    <w:rsid w:val="3A596754"/>
    <w:rsid w:val="3A960861"/>
    <w:rsid w:val="3BF40530"/>
    <w:rsid w:val="3BFBE72A"/>
    <w:rsid w:val="3BFF6D59"/>
    <w:rsid w:val="3C2E5DDC"/>
    <w:rsid w:val="3D1228C0"/>
    <w:rsid w:val="3DF17B5D"/>
    <w:rsid w:val="3F365D14"/>
    <w:rsid w:val="3F8E6B64"/>
    <w:rsid w:val="3FAA1EBE"/>
    <w:rsid w:val="3FE40263"/>
    <w:rsid w:val="40F12468"/>
    <w:rsid w:val="42AD354D"/>
    <w:rsid w:val="43C53C47"/>
    <w:rsid w:val="43F61D03"/>
    <w:rsid w:val="450A7847"/>
    <w:rsid w:val="456719A5"/>
    <w:rsid w:val="45BC13B0"/>
    <w:rsid w:val="45C36283"/>
    <w:rsid w:val="45C805E9"/>
    <w:rsid w:val="46AF06D2"/>
    <w:rsid w:val="480E2235"/>
    <w:rsid w:val="485B7D00"/>
    <w:rsid w:val="49F2635D"/>
    <w:rsid w:val="4A681AE7"/>
    <w:rsid w:val="4A79357A"/>
    <w:rsid w:val="4C2A4A19"/>
    <w:rsid w:val="4C6B3DEC"/>
    <w:rsid w:val="4D027691"/>
    <w:rsid w:val="4DD03C33"/>
    <w:rsid w:val="4DDC4386"/>
    <w:rsid w:val="4E0E589A"/>
    <w:rsid w:val="4F2D5801"/>
    <w:rsid w:val="4F762F22"/>
    <w:rsid w:val="4FB61D33"/>
    <w:rsid w:val="4FC62283"/>
    <w:rsid w:val="508F353D"/>
    <w:rsid w:val="50BA2D1A"/>
    <w:rsid w:val="50DC0D78"/>
    <w:rsid w:val="518E2873"/>
    <w:rsid w:val="523520BC"/>
    <w:rsid w:val="53210278"/>
    <w:rsid w:val="548C2946"/>
    <w:rsid w:val="57572B9F"/>
    <w:rsid w:val="5798BAC1"/>
    <w:rsid w:val="58525668"/>
    <w:rsid w:val="59704F26"/>
    <w:rsid w:val="5972640B"/>
    <w:rsid w:val="5A6764A2"/>
    <w:rsid w:val="5D002484"/>
    <w:rsid w:val="5D215332"/>
    <w:rsid w:val="5D2B03FC"/>
    <w:rsid w:val="5D350526"/>
    <w:rsid w:val="5E7255E1"/>
    <w:rsid w:val="5EFF333D"/>
    <w:rsid w:val="5F4B05F2"/>
    <w:rsid w:val="5F7B6833"/>
    <w:rsid w:val="60C97009"/>
    <w:rsid w:val="60D84E80"/>
    <w:rsid w:val="61284C6D"/>
    <w:rsid w:val="619D1BF1"/>
    <w:rsid w:val="622D21F4"/>
    <w:rsid w:val="6319246B"/>
    <w:rsid w:val="63C95FE5"/>
    <w:rsid w:val="644F137C"/>
    <w:rsid w:val="64FD3107"/>
    <w:rsid w:val="65161393"/>
    <w:rsid w:val="669D5738"/>
    <w:rsid w:val="66D7118B"/>
    <w:rsid w:val="68040D11"/>
    <w:rsid w:val="680F708F"/>
    <w:rsid w:val="6B167A30"/>
    <w:rsid w:val="6C1559DE"/>
    <w:rsid w:val="6CC5438C"/>
    <w:rsid w:val="6D443C83"/>
    <w:rsid w:val="6D7B72BF"/>
    <w:rsid w:val="6DF7F7CB"/>
    <w:rsid w:val="6F1A48B6"/>
    <w:rsid w:val="6F244C95"/>
    <w:rsid w:val="6F7D6390"/>
    <w:rsid w:val="70E7131E"/>
    <w:rsid w:val="718C28F0"/>
    <w:rsid w:val="72D0142B"/>
    <w:rsid w:val="72D7565B"/>
    <w:rsid w:val="72E048C8"/>
    <w:rsid w:val="731B6E65"/>
    <w:rsid w:val="753F3A18"/>
    <w:rsid w:val="757C3E3E"/>
    <w:rsid w:val="765550EC"/>
    <w:rsid w:val="76DC7C7D"/>
    <w:rsid w:val="7710083E"/>
    <w:rsid w:val="77751EAC"/>
    <w:rsid w:val="784A1988"/>
    <w:rsid w:val="78BF7A25"/>
    <w:rsid w:val="78FF483B"/>
    <w:rsid w:val="79475958"/>
    <w:rsid w:val="798D316B"/>
    <w:rsid w:val="79A64C10"/>
    <w:rsid w:val="79E506CB"/>
    <w:rsid w:val="7D257D70"/>
    <w:rsid w:val="7D7033B3"/>
    <w:rsid w:val="7E77AB4F"/>
    <w:rsid w:val="7E850225"/>
    <w:rsid w:val="7F7FA71E"/>
    <w:rsid w:val="7FDD5BB8"/>
    <w:rsid w:val="7FFB4A5C"/>
    <w:rsid w:val="BF7F353E"/>
    <w:rsid w:val="DCD7120C"/>
    <w:rsid w:val="F27F13BB"/>
    <w:rsid w:val="F3B7DDD1"/>
    <w:rsid w:val="F3DF07C2"/>
    <w:rsid w:val="F7D36767"/>
    <w:rsid w:val="FEFD61CE"/>
    <w:rsid w:val="FFFB8190"/>
    <w:rsid w:val="FFFFC66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99"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outlineLvl w:val="0"/>
    </w:pPr>
    <w:rPr>
      <w:b/>
      <w:bCs/>
      <w:kern w:val="44"/>
      <w:szCs w:val="44"/>
    </w:rPr>
  </w:style>
  <w:style w:type="paragraph" w:styleId="4">
    <w:name w:val="heading 2"/>
    <w:basedOn w:val="1"/>
    <w:next w:val="1"/>
    <w:unhideWhenUsed/>
    <w:qFormat/>
    <w:uiPriority w:val="9"/>
    <w:pPr>
      <w:keepNext/>
      <w:keepLines/>
      <w:ind w:firstLine="200" w:firstLineChars="200"/>
      <w:outlineLvl w:val="1"/>
    </w:pPr>
    <w:rPr>
      <w:rFonts w:asciiTheme="majorHAnsi" w:hAnsiTheme="majorHAnsi" w:eastAsiaTheme="majorEastAsia" w:cstheme="majorBidi"/>
      <w:b/>
      <w:bCs/>
      <w:szCs w:val="32"/>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宋体"/>
      <w:szCs w:val="21"/>
    </w:rPr>
  </w:style>
  <w:style w:type="paragraph" w:styleId="6">
    <w:name w:val="toc 7"/>
    <w:basedOn w:val="1"/>
    <w:next w:val="1"/>
    <w:unhideWhenUsed/>
    <w:qFormat/>
    <w:uiPriority w:val="39"/>
    <w:pPr>
      <w:spacing w:after="160" w:line="278" w:lineRule="auto"/>
      <w:ind w:left="2520" w:leftChars="1200"/>
    </w:pPr>
    <w:rPr>
      <w:szCs w:val="22"/>
    </w:rPr>
  </w:style>
  <w:style w:type="paragraph" w:styleId="7">
    <w:name w:val="Normal Indent"/>
    <w:basedOn w:val="1"/>
    <w:qFormat/>
    <w:uiPriority w:val="0"/>
    <w:pPr>
      <w:ind w:firstLine="200" w:firstLineChars="200"/>
    </w:pPr>
    <w:rPr>
      <w:rFonts w:ascii="宋体"/>
      <w:kern w:val="0"/>
      <w:szCs w:val="20"/>
    </w:rPr>
  </w:style>
  <w:style w:type="paragraph" w:styleId="8">
    <w:name w:val="Balloon Text"/>
    <w:basedOn w:val="1"/>
    <w:link w:val="36"/>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qFormat/>
    <w:uiPriority w:val="39"/>
    <w:pPr>
      <w:tabs>
        <w:tab w:val="right" w:leader="dot" w:pos="8296"/>
      </w:tabs>
      <w:spacing w:line="360" w:lineRule="auto"/>
    </w:pPr>
  </w:style>
  <w:style w:type="paragraph" w:styleId="12">
    <w:name w:val="index heading"/>
    <w:basedOn w:val="1"/>
    <w:next w:val="13"/>
    <w:semiHidden/>
    <w:qFormat/>
    <w:uiPriority w:val="99"/>
    <w:rPr>
      <w:rFonts w:ascii="Arial" w:hAnsi="Arial" w:cs="Arial"/>
      <w:b/>
      <w:bCs/>
    </w:rPr>
  </w:style>
  <w:style w:type="paragraph" w:styleId="13">
    <w:name w:val="index 1"/>
    <w:basedOn w:val="1"/>
    <w:next w:val="1"/>
    <w:semiHidden/>
    <w:qFormat/>
    <w:uiPriority w:val="99"/>
    <w:pPr>
      <w:spacing w:line="240" w:lineRule="atLeast"/>
      <w:jc w:val="center"/>
    </w:pPr>
    <w:rPr>
      <w:rFonts w:hAnsi="宋体"/>
    </w:rPr>
  </w:style>
  <w:style w:type="paragraph" w:styleId="14">
    <w:name w:val="toc 2"/>
    <w:basedOn w:val="1"/>
    <w:next w:val="1"/>
    <w:qFormat/>
    <w:uiPriority w:val="39"/>
    <w:pPr>
      <w:spacing w:before="120"/>
      <w:ind w:left="210"/>
      <w:jc w:val="left"/>
    </w:pPr>
    <w:rPr>
      <w:rFonts w:ascii="Calibri" w:hAnsi="Calibri"/>
      <w:i/>
      <w:iCs/>
      <w:sz w:val="20"/>
      <w:szCs w:val="20"/>
    </w:rPr>
  </w:style>
  <w:style w:type="paragraph" w:styleId="15">
    <w:name w:val="Normal (Web)"/>
    <w:basedOn w:val="1"/>
    <w:qFormat/>
    <w:uiPriority w:val="0"/>
    <w:pPr>
      <w:spacing w:beforeAutospacing="1" w:afterAutospacing="1"/>
      <w:jc w:val="left"/>
    </w:pPr>
    <w:rPr>
      <w:kern w:val="0"/>
      <w:sz w:val="24"/>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Hyperlink"/>
    <w:basedOn w:val="18"/>
    <w:unhideWhenUsed/>
    <w:qFormat/>
    <w:uiPriority w:val="99"/>
    <w:rPr>
      <w:color w:val="0563C1" w:themeColor="hyperlink"/>
      <w:u w:val="single"/>
      <w14:textFill>
        <w14:solidFill>
          <w14:schemeClr w14:val="hlink"/>
        </w14:solidFill>
      </w14:textFill>
    </w:rPr>
  </w:style>
  <w:style w:type="paragraph" w:customStyle="1" w:styleId="21">
    <w:name w:val="Default"/>
    <w:basedOn w:val="22"/>
    <w:next w:val="14"/>
    <w:qFormat/>
    <w:uiPriority w:val="0"/>
    <w:pPr>
      <w:autoSpaceDE w:val="0"/>
      <w:autoSpaceDN w:val="0"/>
      <w:adjustRightInd w:val="0"/>
    </w:pPr>
    <w:rPr>
      <w:rFonts w:ascii="Arial" w:hAnsi="Arial" w:cs="Arial" w:eastAsiaTheme="minorEastAsia"/>
      <w:sz w:val="24"/>
    </w:rPr>
  </w:style>
  <w:style w:type="paragraph" w:customStyle="1" w:styleId="22">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23">
    <w:name w:val="样式1"/>
    <w:basedOn w:val="12"/>
    <w:next w:val="1"/>
    <w:qFormat/>
    <w:uiPriority w:val="99"/>
    <w:pPr>
      <w:snapToGrid w:val="0"/>
      <w:jc w:val="center"/>
    </w:pPr>
  </w:style>
  <w:style w:type="paragraph" w:customStyle="1" w:styleId="24">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styleId="25">
    <w:name w:val="List Paragraph"/>
    <w:basedOn w:val="1"/>
    <w:qFormat/>
    <w:uiPriority w:val="34"/>
    <w:pPr>
      <w:ind w:firstLine="420" w:firstLineChars="200"/>
    </w:pPr>
    <w:rPr>
      <w:rFonts w:ascii="Calibri" w:hAnsi="Calibri"/>
      <w:szCs w:val="22"/>
    </w:rPr>
  </w:style>
  <w:style w:type="paragraph" w:customStyle="1" w:styleId="26">
    <w:name w:val="正文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
    <w:name w:val="标准文件_二级条标题"/>
    <w:next w:val="1"/>
    <w:qFormat/>
    <w:uiPriority w:val="0"/>
    <w:pPr>
      <w:widowControl w:val="0"/>
      <w:numPr>
        <w:ilvl w:val="3"/>
        <w:numId w:val="1"/>
      </w:numPr>
      <w:spacing w:beforeLines="50" w:afterLines="50"/>
      <w:jc w:val="both"/>
      <w:outlineLvl w:val="2"/>
    </w:pPr>
    <w:rPr>
      <w:rFonts w:ascii="黑体" w:hAnsi="Times New Roman" w:eastAsia="黑体" w:cs="Times New Roman"/>
      <w:sz w:val="21"/>
      <w:lang w:val="en-US" w:eastAsia="zh-CN" w:bidi="ar-SA"/>
    </w:rPr>
  </w:style>
  <w:style w:type="paragraph" w:customStyle="1" w:styleId="28">
    <w:name w:val="WPSOffice手动目录 1"/>
    <w:qFormat/>
    <w:uiPriority w:val="0"/>
    <w:rPr>
      <w:rFonts w:ascii="Times New Roman" w:hAnsi="Times New Roman" w:eastAsia="宋体" w:cs="Times New Roman"/>
      <w:lang w:val="en-US" w:eastAsia="zh-CN" w:bidi="ar-SA"/>
    </w:rPr>
  </w:style>
  <w:style w:type="paragraph" w:customStyle="1" w:styleId="2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30">
    <w:name w:val="标准文件_段"/>
    <w:link w:val="31"/>
    <w:qFormat/>
    <w:uiPriority w:val="0"/>
    <w:pPr>
      <w:autoSpaceDE w:val="0"/>
      <w:autoSpaceDN w:val="0"/>
      <w:spacing w:after="160" w:line="278" w:lineRule="auto"/>
      <w:ind w:firstLine="200" w:firstLineChars="200"/>
      <w:jc w:val="both"/>
    </w:pPr>
    <w:rPr>
      <w:rFonts w:ascii="宋体" w:hAnsi="Times New Roman" w:eastAsia="宋体" w:cs="Times New Roman"/>
      <w:sz w:val="21"/>
      <w:lang w:val="en-US" w:eastAsia="zh-CN" w:bidi="ar-SA"/>
    </w:rPr>
  </w:style>
  <w:style w:type="character" w:customStyle="1" w:styleId="31">
    <w:name w:val="标准文件_段 Char"/>
    <w:link w:val="30"/>
    <w:qFormat/>
    <w:uiPriority w:val="0"/>
    <w:rPr>
      <w:rFonts w:ascii="宋体"/>
      <w:sz w:val="21"/>
    </w:rPr>
  </w:style>
  <w:style w:type="paragraph" w:customStyle="1" w:styleId="32">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33">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34">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35">
    <w:name w:val="修订5"/>
    <w:hidden/>
    <w:unhideWhenUsed/>
    <w:qFormat/>
    <w:uiPriority w:val="99"/>
    <w:rPr>
      <w:rFonts w:ascii="Times New Roman" w:hAnsi="Times New Roman" w:eastAsia="宋体" w:cs="Times New Roman"/>
      <w:kern w:val="2"/>
      <w:sz w:val="21"/>
      <w:szCs w:val="24"/>
      <w:lang w:val="en-US" w:eastAsia="zh-CN" w:bidi="ar-SA"/>
    </w:rPr>
  </w:style>
  <w:style w:type="character" w:customStyle="1" w:styleId="36">
    <w:name w:val="批注框文本 Char"/>
    <w:basedOn w:val="18"/>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3346</Words>
  <Characters>3625</Characters>
  <Lines>84</Lines>
  <Paragraphs>23</Paragraphs>
  <TotalTime>3</TotalTime>
  <ScaleCrop>false</ScaleCrop>
  <LinksUpToDate>false</LinksUpToDate>
  <CharactersWithSpaces>3677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2025-05-29T03:49:00Z</dcterms:created>
  <dc:creator>11039</dc:creator>
  <cp:lastModifiedBy>WPS_1562066870</cp:lastModifiedBy>
  <cp:lastPrinted>2025-08-05T18:38:00Z</cp:lastPrinted>
  <dcterms:modified xsi:type="dcterms:W3CDTF">2026-03-10T08:34:03Z</dcterms:modified>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77F08BFB00F545B59966F21E8B0415A6</vt:lpwstr>
  </property>
  <property fmtid="{D5CDD505-2E9C-101B-9397-08002B2CF9AE}" pid="4" name="KSOTemplateDocerSaveRecord">
    <vt:lpwstr>eyJoZGlkIjoiNDczNmY2NDU5NTU1MjE3N2NjZTQ4NjA0YWZhOWE3YmIiLCJ1c2VySWQiOiI1OTg1MTgyNjgifQ==</vt:lpwstr>
  </property>
</Properties>
</file>